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FB3" w:rsidRPr="00461FB3" w:rsidRDefault="00461FB3" w:rsidP="00461FB3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61FB3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461FB3" w:rsidRPr="00461FB3" w:rsidRDefault="00461FB3" w:rsidP="00461FB3">
      <w:pPr>
        <w:pStyle w:val="a4"/>
        <w:ind w:left="0"/>
        <w:jc w:val="right"/>
        <w:rPr>
          <w:rFonts w:ascii="Tahoma" w:hAnsi="Tahoma" w:cs="Tahoma"/>
          <w:b/>
          <w:sz w:val="20"/>
          <w:szCs w:val="20"/>
        </w:rPr>
      </w:pPr>
    </w:p>
    <w:p w:rsidR="009A4045" w:rsidRPr="00461FB3" w:rsidRDefault="009A4045" w:rsidP="00461FB3">
      <w:pPr>
        <w:pStyle w:val="a4"/>
        <w:ind w:left="0"/>
        <w:jc w:val="center"/>
        <w:rPr>
          <w:rFonts w:ascii="Tahoma" w:hAnsi="Tahoma" w:cs="Tahoma"/>
          <w:sz w:val="20"/>
          <w:szCs w:val="20"/>
        </w:rPr>
      </w:pPr>
      <w:r w:rsidRPr="00461FB3">
        <w:rPr>
          <w:rFonts w:ascii="Tahoma" w:hAnsi="Tahoma" w:cs="Tahoma"/>
          <w:b/>
          <w:sz w:val="20"/>
          <w:szCs w:val="20"/>
        </w:rPr>
        <w:t>Техническое задание</w:t>
      </w:r>
      <w:r w:rsidRPr="00461FB3">
        <w:rPr>
          <w:rFonts w:ascii="Tahoma" w:hAnsi="Tahoma" w:cs="Tahoma"/>
          <w:sz w:val="20"/>
          <w:szCs w:val="20"/>
        </w:rPr>
        <w:br/>
      </w:r>
      <w:r w:rsidRPr="00461FB3">
        <w:rPr>
          <w:rFonts w:ascii="Tahoma" w:hAnsi="Tahoma" w:cs="Tahoma"/>
          <w:b/>
          <w:sz w:val="20"/>
          <w:szCs w:val="20"/>
        </w:rPr>
        <w:t xml:space="preserve">на выполнение работ по доработке </w:t>
      </w:r>
      <w:proofErr w:type="spellStart"/>
      <w:r w:rsidRPr="00461FB3">
        <w:rPr>
          <w:rFonts w:ascii="Tahoma" w:hAnsi="Tahoma" w:cs="Tahoma"/>
          <w:b/>
          <w:sz w:val="20"/>
          <w:szCs w:val="20"/>
        </w:rPr>
        <w:t>биллинговой</w:t>
      </w:r>
      <w:proofErr w:type="spellEnd"/>
      <w:r w:rsidRPr="00461FB3">
        <w:rPr>
          <w:rFonts w:ascii="Tahoma" w:hAnsi="Tahoma" w:cs="Tahoma"/>
          <w:b/>
          <w:sz w:val="20"/>
          <w:szCs w:val="20"/>
        </w:rPr>
        <w:t xml:space="preserve"> системы 1</w:t>
      </w:r>
      <w:proofErr w:type="gramStart"/>
      <w:r w:rsidRPr="00461FB3">
        <w:rPr>
          <w:rFonts w:ascii="Tahoma" w:hAnsi="Tahoma" w:cs="Tahoma"/>
          <w:b/>
          <w:sz w:val="20"/>
          <w:szCs w:val="20"/>
        </w:rPr>
        <w:t>С:Энергобиллинг</w:t>
      </w:r>
      <w:proofErr w:type="gramEnd"/>
      <w:r w:rsidRPr="00461FB3">
        <w:rPr>
          <w:rFonts w:ascii="Tahoma" w:hAnsi="Tahoma" w:cs="Tahoma"/>
          <w:b/>
          <w:sz w:val="20"/>
          <w:szCs w:val="20"/>
        </w:rPr>
        <w:t xml:space="preserve"> </w:t>
      </w:r>
      <w:r w:rsidRPr="00461FB3">
        <w:rPr>
          <w:rFonts w:ascii="Tahoma" w:hAnsi="Tahoma" w:cs="Tahoma"/>
          <w:b/>
          <w:sz w:val="20"/>
          <w:szCs w:val="20"/>
        </w:rPr>
        <w:br/>
        <w:t>для нужд АО «ЭнергосбыТ Плюс</w:t>
      </w:r>
      <w:r w:rsidRPr="00461FB3">
        <w:rPr>
          <w:rFonts w:ascii="Tahoma" w:eastAsia="Times New Roman" w:hAnsi="Tahoma" w:cs="Tahoma"/>
          <w:b/>
          <w:sz w:val="20"/>
          <w:szCs w:val="20"/>
        </w:rPr>
        <w:t>»</w:t>
      </w:r>
    </w:p>
    <w:p w:rsidR="009A4045" w:rsidRPr="00461FB3" w:rsidRDefault="009A4045" w:rsidP="00461FB3">
      <w:pPr>
        <w:pStyle w:val="a4"/>
        <w:ind w:left="0"/>
        <w:rPr>
          <w:rFonts w:ascii="Tahoma" w:eastAsia="Times New Roman" w:hAnsi="Tahoma" w:cs="Tahoma"/>
          <w:b/>
          <w:sz w:val="20"/>
          <w:szCs w:val="20"/>
        </w:rPr>
      </w:pPr>
    </w:p>
    <w:p w:rsidR="009A4045" w:rsidRPr="00461FB3" w:rsidRDefault="009A4045" w:rsidP="00461FB3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положения</w:t>
      </w:r>
    </w:p>
    <w:p w:rsidR="009A4045" w:rsidRPr="00461FB3" w:rsidRDefault="009A4045" w:rsidP="00461FB3">
      <w:pPr>
        <w:numPr>
          <w:ilvl w:val="1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Полное наименование работ: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1</w:t>
      </w:r>
      <w:proofErr w:type="gram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:rsidR="009A4045" w:rsidRPr="00461FB3" w:rsidRDefault="009A4045" w:rsidP="00461FB3">
      <w:pPr>
        <w:numPr>
          <w:ilvl w:val="1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Назначение технического Задания: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Настоящее техническое Задание устанавливает требования по доработке (модификации) существующей функциональности </w:t>
      </w:r>
      <w:proofErr w:type="spell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информационно-программного комплекса, в целях развития автоматизации бизнес-процессов тепло-сбытовой деятельности, прочих ЖКХ услуг в АО «ЭнергосбыТ Плюс».</w:t>
      </w:r>
    </w:p>
    <w:p w:rsidR="009A4045" w:rsidRPr="00461FB3" w:rsidRDefault="009A4045" w:rsidP="00461FB3">
      <w:pPr>
        <w:numPr>
          <w:ilvl w:val="1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Принятые сокращения: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ТЗ – настоящее Техническое задание.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ТП – технический проект на модификацию.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ИПК – информационно-программный комплекс.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A4045" w:rsidRPr="00461FB3" w:rsidRDefault="009A4045" w:rsidP="00461FB3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Сроки выполнения работ</w:t>
      </w:r>
    </w:p>
    <w:p w:rsidR="009A4045" w:rsidRPr="00461FB3" w:rsidRDefault="009A4045" w:rsidP="00461FB3">
      <w:pPr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Общий срок выполнения работ с даты подписания договора Сторонами по «31» декабря 2024г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Перечень, объем и состав работ</w:t>
      </w:r>
    </w:p>
    <w:p w:rsidR="009A4045" w:rsidRPr="00461FB3" w:rsidRDefault="009A4045" w:rsidP="00461FB3">
      <w:pPr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Перечень работ: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оказывает следующие работы:</w:t>
      </w:r>
    </w:p>
    <w:p w:rsidR="009A4045" w:rsidRPr="00461FB3" w:rsidRDefault="009A4045" w:rsidP="00461FB3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корпоративной информационной системы 1</w:t>
      </w:r>
      <w:proofErr w:type="gram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 соответствии с Фиксированным перечнем работ, указанных в таблице 1.</w:t>
      </w:r>
    </w:p>
    <w:p w:rsidR="009A4045" w:rsidRPr="00461FB3" w:rsidRDefault="009A4045" w:rsidP="00461FB3">
      <w:pPr>
        <w:widowControl w:val="0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корпоративной информационной системы 1</w:t>
      </w:r>
      <w:proofErr w:type="gram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сверх Фиксированного перечня работ. </w:t>
      </w:r>
    </w:p>
    <w:p w:rsidR="009A4045" w:rsidRPr="00461FB3" w:rsidRDefault="009A4045" w:rsidP="00461FB3">
      <w:pPr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Объем 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работ В рамках реализации настоящего ТЗ Исполнитель выполняет работы по обеспечению развития информационных и функциональных возможностей ИПК, оптимизации функционирования ИПК в соответствии с требованиями, описанными в разделе 4 настоящего Технического задания:</w:t>
      </w:r>
    </w:p>
    <w:p w:rsidR="009A4045" w:rsidRPr="00461FB3" w:rsidRDefault="009A4045" w:rsidP="00461FB3">
      <w:pPr>
        <w:numPr>
          <w:ilvl w:val="2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1</w:t>
      </w:r>
      <w:proofErr w:type="gram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соответствии с Фиксированным перечнем Работ, указанных в таблице 1:</w:t>
      </w:r>
    </w:p>
    <w:p w:rsidR="009A4045" w:rsidRPr="00461FB3" w:rsidRDefault="009A4045" w:rsidP="00461FB3">
      <w:pPr>
        <w:pStyle w:val="a4"/>
        <w:keepNext/>
        <w:suppressAutoHyphens/>
        <w:ind w:left="0"/>
        <w:jc w:val="right"/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</w:pPr>
      <w:r w:rsidRPr="00461FB3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 xml:space="preserve">Таблица 1. </w:t>
      </w:r>
      <w:r w:rsidRPr="00461FB3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  <w:t>Фиксированный перечень Работ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18"/>
        <w:gridCol w:w="2085"/>
        <w:gridCol w:w="1910"/>
        <w:gridCol w:w="4832"/>
      </w:tblGrid>
      <w:tr w:rsidR="009A4045" w:rsidRPr="00461FB3" w:rsidTr="00451DF4">
        <w:trPr>
          <w:trHeight w:val="558"/>
          <w:tblHeader/>
        </w:trPr>
        <w:tc>
          <w:tcPr>
            <w:tcW w:w="227" w:type="pct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461FB3">
              <w:rPr>
                <w:rFonts w:ascii="Tahoma" w:hAnsi="Tahoma" w:cs="Tahoma"/>
              </w:rPr>
              <w:t>№ п/п</w:t>
            </w:r>
          </w:p>
        </w:tc>
        <w:tc>
          <w:tcPr>
            <w:tcW w:w="1198" w:type="pct"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461FB3">
              <w:rPr>
                <w:rFonts w:ascii="Tahoma" w:hAnsi="Tahoma" w:cs="Tahoma"/>
              </w:rPr>
              <w:t>Наименование Работ</w:t>
            </w:r>
          </w:p>
        </w:tc>
        <w:tc>
          <w:tcPr>
            <w:tcW w:w="907" w:type="pct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461FB3">
              <w:rPr>
                <w:rFonts w:ascii="Tahoma" w:hAnsi="Tahoma" w:cs="Tahoma"/>
              </w:rPr>
              <w:t>Ориентировочный объем Работ, человеко-часы</w:t>
            </w:r>
          </w:p>
        </w:tc>
        <w:tc>
          <w:tcPr>
            <w:tcW w:w="2668" w:type="pct"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461FB3">
              <w:rPr>
                <w:rFonts w:ascii="Tahoma" w:hAnsi="Tahoma" w:cs="Tahoma"/>
              </w:rPr>
              <w:t>Описание модификации</w:t>
            </w:r>
          </w:p>
        </w:tc>
      </w:tr>
      <w:tr w:rsidR="009A4045" w:rsidRPr="00461FB3" w:rsidTr="00451DF4">
        <w:trPr>
          <w:trHeight w:val="900"/>
        </w:trPr>
        <w:tc>
          <w:tcPr>
            <w:tcW w:w="227" w:type="pct"/>
          </w:tcPr>
          <w:p w:rsidR="009A4045" w:rsidRPr="00461FB3" w:rsidRDefault="009A4045" w:rsidP="00461FB3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8" w:type="pct"/>
            <w:hideMark/>
          </w:tcPr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>Оптимизация расчетов планов отпуска</w:t>
            </w:r>
          </w:p>
        </w:tc>
        <w:tc>
          <w:tcPr>
            <w:tcW w:w="907" w:type="pct"/>
          </w:tcPr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>190</w:t>
            </w:r>
          </w:p>
        </w:tc>
        <w:tc>
          <w:tcPr>
            <w:tcW w:w="2668" w:type="pct"/>
            <w:hideMark/>
          </w:tcPr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>В целях ускорения расчетов планов отпуска необходимо выполнить оптимизацию существующего функционала по расчетам планов.</w:t>
            </w:r>
          </w:p>
        </w:tc>
      </w:tr>
      <w:tr w:rsidR="009A4045" w:rsidRPr="00461FB3" w:rsidTr="00451DF4">
        <w:trPr>
          <w:trHeight w:val="527"/>
        </w:trPr>
        <w:tc>
          <w:tcPr>
            <w:tcW w:w="227" w:type="pct"/>
          </w:tcPr>
          <w:p w:rsidR="009A4045" w:rsidRPr="00461FB3" w:rsidRDefault="009A4045" w:rsidP="00461FB3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8" w:type="pct"/>
            <w:hideMark/>
          </w:tcPr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 xml:space="preserve">Визуализация распределяемых участков тепловых сетей в </w:t>
            </w:r>
            <w:proofErr w:type="spellStart"/>
            <w:r w:rsidRPr="00461FB3">
              <w:rPr>
                <w:rFonts w:ascii="Tahoma" w:hAnsi="Tahoma" w:cs="Tahoma"/>
                <w:color w:val="000000"/>
                <w:lang w:eastAsia="en-US"/>
              </w:rPr>
              <w:t>теплоустановках</w:t>
            </w:r>
            <w:proofErr w:type="spellEnd"/>
          </w:p>
        </w:tc>
        <w:tc>
          <w:tcPr>
            <w:tcW w:w="907" w:type="pct"/>
          </w:tcPr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>50</w:t>
            </w:r>
          </w:p>
        </w:tc>
        <w:tc>
          <w:tcPr>
            <w:tcW w:w="2668" w:type="pct"/>
            <w:hideMark/>
          </w:tcPr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 xml:space="preserve">Требуется реализовать функциональность по отражению на форме </w:t>
            </w:r>
            <w:proofErr w:type="spellStart"/>
            <w:r w:rsidRPr="00461FB3">
              <w:rPr>
                <w:rFonts w:ascii="Tahoma" w:hAnsi="Tahoma" w:cs="Tahoma"/>
                <w:color w:val="000000"/>
                <w:lang w:eastAsia="en-US"/>
              </w:rPr>
              <w:t>теплоустановки</w:t>
            </w:r>
            <w:proofErr w:type="spellEnd"/>
            <w:r w:rsidRPr="00461FB3">
              <w:rPr>
                <w:rFonts w:ascii="Tahoma" w:hAnsi="Tahoma" w:cs="Tahoma"/>
                <w:color w:val="000000"/>
                <w:lang w:eastAsia="en-US"/>
              </w:rPr>
              <w:t xml:space="preserve"> сетей, распределяемых на несколько ТУ. Предложения: отдельная вкладка "Распределяемые сети", на которой выводить:</w:t>
            </w:r>
          </w:p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 xml:space="preserve">-участок сети (код, наименование, «Вариант распределения»); </w:t>
            </w:r>
          </w:p>
          <w:p w:rsidR="009A4045" w:rsidRPr="00461FB3" w:rsidRDefault="009A4045" w:rsidP="00461FB3">
            <w:pPr>
              <w:widowControl w:val="0"/>
              <w:pBdr>
                <w:bottom w:val="single" w:sz="8" w:space="4" w:color="5B9BD5"/>
              </w:pBdr>
              <w:spacing w:after="0" w:line="24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461FB3">
              <w:rPr>
                <w:rFonts w:ascii="Tahoma" w:hAnsi="Tahoma" w:cs="Tahoma"/>
                <w:color w:val="000000"/>
                <w:lang w:eastAsia="en-US"/>
              </w:rPr>
              <w:t>-ТУ, участвующие в распределении потерь (код, наименование, договор, признак владельца сети «</w:t>
            </w:r>
            <w:proofErr w:type="gramStart"/>
            <w:r w:rsidRPr="00461FB3">
              <w:rPr>
                <w:rFonts w:ascii="Tahoma" w:hAnsi="Tahoma" w:cs="Tahoma"/>
                <w:color w:val="000000"/>
                <w:lang w:eastAsia="en-US"/>
              </w:rPr>
              <w:t>Да»/</w:t>
            </w:r>
            <w:proofErr w:type="gramEnd"/>
            <w:r w:rsidRPr="00461FB3">
              <w:rPr>
                <w:rFonts w:ascii="Tahoma" w:hAnsi="Tahoma" w:cs="Tahoma"/>
                <w:color w:val="000000"/>
                <w:lang w:eastAsia="en-US"/>
              </w:rPr>
              <w:t>«Нет»)</w:t>
            </w:r>
          </w:p>
        </w:tc>
      </w:tr>
      <w:tr w:rsidR="009A4045" w:rsidRPr="00461FB3" w:rsidTr="00451DF4">
        <w:trPr>
          <w:trHeight w:val="57"/>
        </w:trPr>
        <w:tc>
          <w:tcPr>
            <w:tcW w:w="227" w:type="pct"/>
          </w:tcPr>
          <w:p w:rsidR="009A4045" w:rsidRPr="00461FB3" w:rsidRDefault="009A4045" w:rsidP="00461FB3">
            <w:pPr>
              <w:pStyle w:val="a4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8" w:type="pct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461FB3">
              <w:rPr>
                <w:rFonts w:ascii="Tahoma" w:hAnsi="Tahoma" w:cs="Tahoma"/>
                <w:color w:val="000000"/>
              </w:rPr>
              <w:t>ИТОГО:</w:t>
            </w:r>
          </w:p>
        </w:tc>
        <w:tc>
          <w:tcPr>
            <w:tcW w:w="907" w:type="pct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461FB3">
              <w:rPr>
                <w:rFonts w:ascii="Tahoma" w:hAnsi="Tahoma" w:cs="Tahoma"/>
              </w:rPr>
              <w:fldChar w:fldCharType="begin"/>
            </w:r>
            <w:r w:rsidRPr="00461FB3">
              <w:rPr>
                <w:rFonts w:ascii="Tahoma" w:hAnsi="Tahoma" w:cs="Tahoma"/>
              </w:rPr>
              <w:instrText xml:space="preserve"> =SUM(ABOVE) </w:instrText>
            </w:r>
            <w:r w:rsidRPr="00461FB3">
              <w:rPr>
                <w:rFonts w:ascii="Tahoma" w:hAnsi="Tahoma" w:cs="Tahoma"/>
              </w:rPr>
              <w:fldChar w:fldCharType="separate"/>
            </w:r>
            <w:r w:rsidRPr="00461FB3">
              <w:rPr>
                <w:rFonts w:ascii="Tahoma" w:hAnsi="Tahoma" w:cs="Tahoma"/>
                <w:noProof/>
              </w:rPr>
              <w:t>240</w:t>
            </w:r>
            <w:r w:rsidRPr="00461FB3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668" w:type="pct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</w:tbl>
    <w:p w:rsidR="009A4045" w:rsidRPr="00461FB3" w:rsidRDefault="009A4045" w:rsidP="00461FB3">
      <w:pPr>
        <w:pStyle w:val="a4"/>
        <w:keepNext/>
        <w:suppressAutoHyphens/>
        <w:ind w:left="0"/>
        <w:jc w:val="right"/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</w:pPr>
    </w:p>
    <w:p w:rsidR="009A4045" w:rsidRPr="00461FB3" w:rsidRDefault="009A4045" w:rsidP="00461FB3">
      <w:pPr>
        <w:numPr>
          <w:ilvl w:val="2"/>
          <w:numId w:val="1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Объем Работ специалистов по дополнительным доработкам функционала корпоративной информационной системы 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С:Энергобилинг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сверх Фиксированного Перечня Работ, указаны в таблице 2: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</w:p>
    <w:p w:rsidR="009A4045" w:rsidRPr="00461FB3" w:rsidRDefault="009A4045" w:rsidP="00461FB3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t>Таблица 2. Объем Работ специалистов по дополнительным доработкам функционала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6237"/>
        <w:gridCol w:w="2421"/>
      </w:tblGrid>
      <w:tr w:rsidR="009A4045" w:rsidRPr="00461FB3" w:rsidTr="00451DF4">
        <w:trPr>
          <w:trHeight w:val="519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4045" w:rsidRPr="00461FB3" w:rsidRDefault="009A4045" w:rsidP="00461FB3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4045" w:rsidRPr="00461FB3" w:rsidRDefault="009A4045" w:rsidP="00461FB3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Тип выполняемых Работ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4045" w:rsidRPr="00461FB3" w:rsidRDefault="009A4045" w:rsidP="00461FB3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Объем Работ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человеко-часы</w:t>
            </w:r>
          </w:p>
        </w:tc>
      </w:tr>
      <w:tr w:rsidR="009A4045" w:rsidRPr="00461FB3" w:rsidTr="00451DF4"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4045" w:rsidRPr="00461FB3" w:rsidRDefault="009A4045" w:rsidP="00461FB3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4045" w:rsidRPr="00461FB3" w:rsidRDefault="009A4045" w:rsidP="00461FB3">
            <w:pPr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Работы разработчика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60</w:t>
            </w:r>
          </w:p>
        </w:tc>
      </w:tr>
    </w:tbl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Указанный объем </w:t>
      </w:r>
      <w:r w:rsidRPr="00461FB3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может быть изменен в соответствии с согласованным объемом </w:t>
      </w:r>
      <w:r w:rsidRPr="00461FB3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на этапе Заявки без заключения дополнительного соглашения к договору.</w:t>
      </w:r>
    </w:p>
    <w:p w:rsidR="009A4045" w:rsidRPr="00461FB3" w:rsidRDefault="009A4045" w:rsidP="00461FB3">
      <w:pPr>
        <w:numPr>
          <w:ilvl w:val="2"/>
          <w:numId w:val="1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Этапы </w:t>
      </w:r>
      <w:r w:rsidRPr="00461FB3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указаны в таблице 3: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keepNext/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Таблица 3. Этапы </w:t>
      </w:r>
      <w:r w:rsidRPr="00461FB3">
        <w:rPr>
          <w:rFonts w:ascii="Tahoma" w:eastAsia="Times New Roman" w:hAnsi="Tahoma" w:cs="Tahoma"/>
          <w:color w:val="000000"/>
          <w:sz w:val="20"/>
          <w:szCs w:val="20"/>
        </w:rPr>
        <w:t>Работ</w:t>
      </w:r>
    </w:p>
    <w:tbl>
      <w:tblPr>
        <w:tblpPr w:leftFromText="180" w:rightFromText="180" w:vertAnchor="text" w:horzAnchor="margin" w:tblpY="19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4111"/>
      </w:tblGrid>
      <w:tr w:rsidR="009A4045" w:rsidRPr="00461FB3" w:rsidTr="00451DF4">
        <w:trPr>
          <w:trHeight w:val="563"/>
          <w:tblHeader/>
        </w:trPr>
        <w:tc>
          <w:tcPr>
            <w:tcW w:w="704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 этапа 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Результат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Работ</w:t>
            </w:r>
          </w:p>
        </w:tc>
      </w:tr>
      <w:tr w:rsidR="009A4045" w:rsidRPr="00461FB3" w:rsidTr="00451DF4">
        <w:trPr>
          <w:tblHeader/>
        </w:trPr>
        <w:tc>
          <w:tcPr>
            <w:tcW w:w="704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0"/>
                <w:numId w:val="17"/>
              </w:numPr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Уточнение ТП, переданного Заказчиком.</w:t>
            </w:r>
            <w:r w:rsidRPr="00461FB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Согласованный с Заказчиком детализированный ТП</w:t>
            </w:r>
            <w:r w:rsidRPr="00461FB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A4045" w:rsidRPr="00461FB3" w:rsidTr="00451DF4">
        <w:trPr>
          <w:tblHeader/>
        </w:trPr>
        <w:tc>
          <w:tcPr>
            <w:tcW w:w="704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0"/>
                <w:numId w:val="17"/>
              </w:numPr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Реализация и внутреннее тестирование функциональности на основании проектных решений этапа 1.</w:t>
            </w:r>
          </w:p>
        </w:tc>
        <w:tc>
          <w:tcPr>
            <w:tcW w:w="4111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9A4045" w:rsidRPr="00461FB3" w:rsidTr="00451DF4">
        <w:trPr>
          <w:tblHeader/>
        </w:trPr>
        <w:tc>
          <w:tcPr>
            <w:tcW w:w="704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0"/>
                <w:numId w:val="17"/>
              </w:numPr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пользовательской и сопроводительной документации.</w:t>
            </w:r>
          </w:p>
        </w:tc>
        <w:tc>
          <w:tcPr>
            <w:tcW w:w="4111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Руководство Пользователя.</w:t>
            </w:r>
          </w:p>
        </w:tc>
      </w:tr>
      <w:tr w:rsidR="009A4045" w:rsidRPr="00461FB3" w:rsidTr="00451DF4">
        <w:trPr>
          <w:tblHeader/>
        </w:trPr>
        <w:tc>
          <w:tcPr>
            <w:tcW w:w="704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0"/>
                <w:numId w:val="17"/>
              </w:numPr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сценариев приемочного тестирования.</w:t>
            </w:r>
          </w:p>
        </w:tc>
        <w:tc>
          <w:tcPr>
            <w:tcW w:w="4111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Сценарий приемочного тестирования.</w:t>
            </w:r>
          </w:p>
        </w:tc>
      </w:tr>
      <w:tr w:rsidR="009A4045" w:rsidRPr="00461FB3" w:rsidTr="00451DF4">
        <w:trPr>
          <w:tblHeader/>
        </w:trPr>
        <w:tc>
          <w:tcPr>
            <w:tcW w:w="704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0"/>
                <w:numId w:val="17"/>
              </w:numPr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Приемо-сдаточные испытания, перевод в опытную эксплуатацию.</w:t>
            </w:r>
          </w:p>
        </w:tc>
        <w:tc>
          <w:tcPr>
            <w:tcW w:w="4111" w:type="dxa"/>
            <w:vAlign w:val="center"/>
          </w:tcPr>
          <w:p w:rsidR="009A4045" w:rsidRPr="00461FB3" w:rsidRDefault="009A4045" w:rsidP="00461FB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Конкретные этапы и состав </w:t>
      </w:r>
      <w:r w:rsidRPr="00461FB3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выполняемых в рамках конкретной </w:t>
      </w:r>
      <w:r w:rsidRPr="00461FB3">
        <w:rPr>
          <w:rFonts w:ascii="Tahoma" w:eastAsia="Times New Roman" w:hAnsi="Tahoma" w:cs="Tahoma"/>
          <w:color w:val="000000"/>
          <w:sz w:val="20"/>
          <w:szCs w:val="20"/>
        </w:rPr>
        <w:t>Работы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определяются и фиксируются в Заявке на этапе согласования заявки Сторонами.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к порядку и условиям выполнения работ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Требования к выполнению работ по Доработке функционала корпоративной информационной системы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в соответствии с Заявками Заказчика по обеспечению развития информационных и функциональных возможностей ИПК, оптимизации функционирования ИПК (Далее – Заявка на доработку):</w:t>
      </w:r>
    </w:p>
    <w:p w:rsidR="009A4045" w:rsidRPr="00461FB3" w:rsidRDefault="009A4045" w:rsidP="00461FB3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Место выполнения работ: работы производятся дистанционно посредством предоставления удаленного доступа специалистам Исполнителя к средам разработки ПО Заказчика.</w:t>
      </w:r>
    </w:p>
    <w:p w:rsidR="009A4045" w:rsidRPr="00461FB3" w:rsidRDefault="009A4045" w:rsidP="00461FB3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выполнение работ по доработке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 в соответствии с п. 3.2.2. Состав и перечень работ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Приложения, которое подписывается с двух сторон в двух экземплярах. 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Заявка на доработку содержит:</w:t>
      </w:r>
    </w:p>
    <w:p w:rsidR="009A4045" w:rsidRPr="00461FB3" w:rsidRDefault="009A4045" w:rsidP="00461FB3">
      <w:pPr>
        <w:widowControl w:val="0"/>
        <w:numPr>
          <w:ilvl w:val="0"/>
          <w:numId w:val="6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Требование на доработку </w:t>
      </w:r>
      <w:proofErr w:type="spellStart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ИПК.</w:t>
      </w:r>
    </w:p>
    <w:p w:rsidR="009A4045" w:rsidRPr="00461FB3" w:rsidRDefault="009A4045" w:rsidP="00461FB3">
      <w:pPr>
        <w:widowControl w:val="0"/>
        <w:numPr>
          <w:ilvl w:val="0"/>
          <w:numId w:val="6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При необходимости: документы, требуемые для доработки </w:t>
      </w:r>
      <w:proofErr w:type="spellStart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ИПК или ссылки на документы, если такие документы являются общедоступными.</w:t>
      </w:r>
    </w:p>
    <w:p w:rsidR="009A4045" w:rsidRPr="00461FB3" w:rsidRDefault="009A4045" w:rsidP="00461FB3">
      <w:pPr>
        <w:widowControl w:val="0"/>
        <w:numPr>
          <w:ilvl w:val="0"/>
          <w:numId w:val="6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При необходимости: срок, к которому Заказчику необходимо передать результаты </w:t>
      </w:r>
      <w:proofErr w:type="spellStart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выполненых</w:t>
      </w:r>
      <w:proofErr w:type="spellEnd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работ.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в обязательном порядке должна быть продублирована в проектном </w:t>
      </w:r>
      <w:proofErr w:type="spell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трекере</w:t>
      </w:r>
      <w:proofErr w:type="spell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Заказчика. 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Стоимость Работ Исполнителя зафиксирована в п.3.1 Договора. 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По Работам специалистов оплате подлежат только трудозатраты Исполнителя, потраченные на выполнение работ по Заявкам Заказчика, без учета времени простоя. 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Стоимость работ должна включать в себя все налоги и другие обязательные платежи, включая командировочные и сопутствующие расходы Исполнителя.</w:t>
      </w:r>
    </w:p>
    <w:p w:rsidR="009A4045" w:rsidRPr="00461FB3" w:rsidRDefault="009A4045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считается выполненной при следующих условиях: </w:t>
      </w:r>
    </w:p>
    <w:p w:rsidR="009A4045" w:rsidRPr="00461FB3" w:rsidRDefault="009A4045" w:rsidP="00461FB3">
      <w:pPr>
        <w:widowControl w:val="0"/>
        <w:numPr>
          <w:ilvl w:val="0"/>
          <w:numId w:val="6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Разработка выполнена в соответствии с требованиями к Результатам работ согласно п. 4.2, в полном объеме и оформлена в соответствии с п. п. 7.1 п. п. 6.2 настоящего Задания.</w:t>
      </w:r>
    </w:p>
    <w:p w:rsidR="009A4045" w:rsidRPr="00461FB3" w:rsidRDefault="009A4045" w:rsidP="00461FB3">
      <w:pPr>
        <w:widowControl w:val="0"/>
        <w:numPr>
          <w:ilvl w:val="0"/>
          <w:numId w:val="6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Успешно пройдено тестирование. Критерием успешности является работа функционала в соответствии с ТП.</w:t>
      </w:r>
    </w:p>
    <w:p w:rsidR="009A4045" w:rsidRPr="00461FB3" w:rsidRDefault="009A4045" w:rsidP="00461FB3">
      <w:pPr>
        <w:widowControl w:val="0"/>
        <w:numPr>
          <w:ilvl w:val="0"/>
          <w:numId w:val="6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Заказчику передан полный объем документации по разработке 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согласно перечню, в приложениях к Заявке на доработку (Приложение №1 к Техническому заданию): Приложение №1 «Состав </w:t>
      </w: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работ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» и Приложение №4 «Результаты </w:t>
      </w: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работ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.</w:t>
      </w:r>
    </w:p>
    <w:p w:rsidR="009A4045" w:rsidRPr="00461FB3" w:rsidRDefault="009A4045" w:rsidP="00461FB3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Перед началом выполнения работ по Заявке Заказчик предоставляет Исполнителю: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Доступ к среде разработки/тестирования, включая: адрес подключения, логины, пароли.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Технический проект (ТП) по каждой модификации, изложенной в п.3.1 настоящего ТЗ.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Удалённые рабочие места с установленным программным обеспечением:</w:t>
      </w:r>
    </w:p>
    <w:p w:rsidR="009A4045" w:rsidRPr="00461FB3" w:rsidRDefault="009A4045" w:rsidP="00461FB3">
      <w:pPr>
        <w:pStyle w:val="a4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</w:rPr>
        <w:t>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</w:rPr>
        <w:t>С:Платформа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</w:rPr>
        <w:t xml:space="preserve"> 8.3 нетиповая конфигурация.</w:t>
      </w:r>
    </w:p>
    <w:p w:rsidR="009A4045" w:rsidRPr="00461FB3" w:rsidRDefault="009A4045" w:rsidP="00461FB3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Исполнитель должен обеспечить: 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Прием Заявок на доработку, направленных официальным письмом, или по электронной почте.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Обработку Заявок, включая:</w:t>
      </w:r>
    </w:p>
    <w:p w:rsidR="009A4045" w:rsidRPr="00461FB3" w:rsidRDefault="009A4045" w:rsidP="00461FB3">
      <w:pPr>
        <w:widowControl w:val="0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сроков выполнения работ по Заявке, предложенных Заказчиком или обоснование иных сроков выполнения работ.</w:t>
      </w:r>
    </w:p>
    <w:p w:rsidR="009A4045" w:rsidRPr="00461FB3" w:rsidRDefault="009A4045" w:rsidP="00461FB3">
      <w:pPr>
        <w:widowControl w:val="0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Дополнительную проработку Заявок, разработку постановки задачи, при необходимости.</w:t>
      </w:r>
    </w:p>
    <w:p w:rsidR="009A4045" w:rsidRPr="00461FB3" w:rsidRDefault="009A4045" w:rsidP="00461FB3">
      <w:pPr>
        <w:widowControl w:val="0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Выбор наиболее оптимального способа реализации Заявки в рамках ИПК.</w:t>
      </w:r>
    </w:p>
    <w:p w:rsidR="009A4045" w:rsidRPr="00461FB3" w:rsidRDefault="009A4045" w:rsidP="00461FB3">
      <w:pPr>
        <w:widowControl w:val="0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способа реализации Заявки с Заказчиком.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Доработку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 по Заявке Заказчика.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ИПК.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Тестирование доработок, выполненных по Заявке Заказчика на стенде Заказчика.</w:t>
      </w:r>
    </w:p>
    <w:p w:rsidR="009A4045" w:rsidRPr="00461FB3" w:rsidRDefault="009A4045" w:rsidP="00461FB3">
      <w:pPr>
        <w:widowControl w:val="0"/>
        <w:tabs>
          <w:tab w:val="left" w:pos="567"/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в ходе выполнения работ официальным образом.</w:t>
      </w:r>
    </w:p>
    <w:p w:rsidR="009A4045" w:rsidRPr="00461FB3" w:rsidRDefault="009A4045" w:rsidP="00461FB3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Стенд Заказчика представляет собой копию продуктивной среды </w:t>
      </w:r>
      <w:proofErr w:type="spellStart"/>
      <w:r w:rsidRPr="00461FB3">
        <w:rPr>
          <w:rFonts w:ascii="Tahoma" w:eastAsia="Times New Roman" w:hAnsi="Tahoma" w:cs="Tahoma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</w:t>
      </w:r>
      <w:proofErr w:type="spellStart"/>
      <w:r w:rsidRPr="00461FB3">
        <w:rPr>
          <w:rFonts w:ascii="Tahoma" w:eastAsia="Times New Roman" w:hAnsi="Tahoma" w:cs="Tahoma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 ИПК и проверок соответствия доработок критериям приемки и требованиям Заявки на доработку.</w:t>
      </w:r>
    </w:p>
    <w:p w:rsidR="009A4045" w:rsidRPr="00461FB3" w:rsidRDefault="009A4045" w:rsidP="00461FB3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Стенд Заказчика кроме среды тестирования содержит среду разработки. </w:t>
      </w:r>
    </w:p>
    <w:p w:rsidR="009A4045" w:rsidRPr="00461FB3" w:rsidRDefault="009A4045" w:rsidP="00461FB3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:rsidR="009A4045" w:rsidRPr="00461FB3" w:rsidRDefault="009A4045" w:rsidP="00461FB3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Стенд заказчика содержит необходимое настроенное программное обеспечение.</w:t>
      </w:r>
    </w:p>
    <w:p w:rsidR="009A4045" w:rsidRPr="00461FB3" w:rsidRDefault="009A4045" w:rsidP="00461FB3">
      <w:pPr>
        <w:numPr>
          <w:ilvl w:val="2"/>
          <w:numId w:val="15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Предоставление результатов работ по Заявке Заказчику, включая описание доработок в соответствии с Заявкой. </w:t>
      </w:r>
    </w:p>
    <w:p w:rsidR="009A4045" w:rsidRPr="00461FB3" w:rsidRDefault="009A4045" w:rsidP="00461FB3">
      <w:pPr>
        <w:numPr>
          <w:ilvl w:val="2"/>
          <w:numId w:val="15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Требования к документированию при выполнении работ указаны в таблице 5.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widowControl w:val="0"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Таблица 5. Требования к документированию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7391"/>
      </w:tblGrid>
      <w:tr w:rsidR="009A4045" w:rsidRPr="00461FB3" w:rsidTr="00451DF4">
        <w:trPr>
          <w:trHeight w:val="588"/>
          <w:tblHeader/>
        </w:trPr>
        <w:tc>
          <w:tcPr>
            <w:tcW w:w="562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№ п</w:t>
            </w: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  <w:lang w:val="en-US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Документ от Исполнителя</w:t>
            </w:r>
          </w:p>
        </w:tc>
        <w:tc>
          <w:tcPr>
            <w:tcW w:w="7391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Требования</w:t>
            </w:r>
          </w:p>
        </w:tc>
      </w:tr>
      <w:tr w:rsidR="009A4045" w:rsidRPr="00461FB3" w:rsidTr="00451DF4">
        <w:tc>
          <w:tcPr>
            <w:tcW w:w="562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2"/>
                <w:numId w:val="19"/>
              </w:numPr>
              <w:suppressAutoHyphens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Разработка </w:t>
            </w:r>
          </w:p>
        </w:tc>
        <w:tc>
          <w:tcPr>
            <w:tcW w:w="7391" w:type="dxa"/>
            <w:vAlign w:val="center"/>
          </w:tcPr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Разработка включает в себя код-</w:t>
            </w:r>
            <w:proofErr w:type="spellStart"/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ревью</w:t>
            </w:r>
            <w:proofErr w:type="spellEnd"/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:</w:t>
            </w:r>
          </w:p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</w:t>
            </w:r>
            <w:proofErr w:type="spellStart"/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логирования</w:t>
            </w:r>
            <w:proofErr w:type="spellEnd"/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 и т.д. </w:t>
            </w:r>
          </w:p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c. Общая грамотность написанного кода – исключить: безликие переменные, отсутствие декомпозиции, дублирование логики и </w:t>
            </w:r>
            <w:proofErr w:type="spellStart"/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>т.д</w:t>
            </w:r>
            <w:proofErr w:type="spellEnd"/>
          </w:p>
        </w:tc>
      </w:tr>
      <w:tr w:rsidR="009A4045" w:rsidRPr="00461FB3" w:rsidTr="00451DF4">
        <w:tc>
          <w:tcPr>
            <w:tcW w:w="562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2"/>
                <w:numId w:val="19"/>
              </w:numPr>
              <w:tabs>
                <w:tab w:val="left" w:pos="-284"/>
              </w:tabs>
              <w:suppressAutoHyphens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Результаты тестирования </w:t>
            </w:r>
          </w:p>
        </w:tc>
        <w:tc>
          <w:tcPr>
            <w:tcW w:w="7391" w:type="dxa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Прохождение сценария тестирования, описанного в п.4,4.</w:t>
            </w:r>
          </w:p>
        </w:tc>
      </w:tr>
      <w:tr w:rsidR="009A4045" w:rsidRPr="00461FB3" w:rsidTr="00451DF4">
        <w:tc>
          <w:tcPr>
            <w:tcW w:w="562" w:type="dxa"/>
            <w:vAlign w:val="center"/>
          </w:tcPr>
          <w:p w:rsidR="009A4045" w:rsidRPr="00461FB3" w:rsidRDefault="009A4045" w:rsidP="00461FB3">
            <w:pPr>
              <w:pStyle w:val="a4"/>
              <w:widowControl w:val="0"/>
              <w:numPr>
                <w:ilvl w:val="2"/>
                <w:numId w:val="19"/>
              </w:numPr>
              <w:tabs>
                <w:tab w:val="left" w:pos="-284"/>
              </w:tabs>
              <w:suppressAutoHyphens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9A4045" w:rsidRPr="00461FB3" w:rsidRDefault="009A4045" w:rsidP="00461FB3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Руководство пользователя </w:t>
            </w:r>
          </w:p>
        </w:tc>
        <w:tc>
          <w:tcPr>
            <w:tcW w:w="7391" w:type="dxa"/>
            <w:shd w:val="clear" w:color="auto" w:fill="FFFFFF"/>
            <w:vAlign w:val="center"/>
          </w:tcPr>
          <w:p w:rsidR="009A4045" w:rsidRPr="00461FB3" w:rsidRDefault="009A4045" w:rsidP="00461FB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:rsidR="009A4045" w:rsidRPr="00461FB3" w:rsidRDefault="009A4045" w:rsidP="00461FB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:rsidR="009A4045" w:rsidRPr="00461FB3" w:rsidRDefault="009A4045" w:rsidP="00461FB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требования к документированию Работ, выполняемых в рамках конкретной Заявки, определяются и фиксируются в Заявке на этапе согласования заявки Сторонами.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 xml:space="preserve">Устранение замечаний, выявленных в процессе тестирования, не являющихся новыми требованиями на доработку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Устранение технических ошибок (дефектов), других замечаний в функционировании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 в части доработанных компонент, выявленных в процессе эксплуатации доработанных компонент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требованиями на доработку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выполнения работ в рамках Заявки. </w:t>
      </w:r>
    </w:p>
    <w:p w:rsidR="009A4045" w:rsidRPr="00461FB3" w:rsidRDefault="009A4045" w:rsidP="00461FB3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Работы выполняются строго с учетом версии эксплуатируемого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:rsidR="009A4045" w:rsidRPr="00461FB3" w:rsidRDefault="009A4045" w:rsidP="00461FB3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При выполнении доработок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 Исполнителем должно быть обеспечено сохранение существующей на момент выполнение работ функциональности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ИПК, если иное не отражено в Заявке Заказчика.</w:t>
      </w:r>
    </w:p>
    <w:p w:rsidR="009A4045" w:rsidRPr="00461FB3" w:rsidRDefault="009A4045" w:rsidP="00461FB3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процессе выполнения работ Исполнитель должен проводить доработки и тестирование согласно Заявке. </w:t>
      </w:r>
    </w:p>
    <w:p w:rsidR="009A4045" w:rsidRPr="00461FB3" w:rsidRDefault="009A4045" w:rsidP="00461FB3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Исполнитель при взаимодействии с Заказчиком обязан при планировании сроков по работам учесть:</w:t>
      </w:r>
    </w:p>
    <w:p w:rsidR="009A4045" w:rsidRPr="00461FB3" w:rsidRDefault="009A4045" w:rsidP="00461FB3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запрет на активные работы в декабре,</w:t>
      </w:r>
    </w:p>
    <w:p w:rsidR="009A4045" w:rsidRPr="00461FB3" w:rsidRDefault="009A4045" w:rsidP="00461FB3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не сдавать разработки (тестирование, дизайны на согласование, приемочные тестирования на этапе сдачи результата выполненных работ целиком), планируемые в период с 26 числа по 30 (31, 28) числа и с 1 по 6 число месяца; </w:t>
      </w:r>
    </w:p>
    <w:p w:rsidR="009A4045" w:rsidRPr="00461FB3" w:rsidRDefault="009A4045" w:rsidP="00461FB3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временные часовые пояса Заказчика. </w:t>
      </w:r>
    </w:p>
    <w:p w:rsidR="009A4045" w:rsidRDefault="009A4045" w:rsidP="00461FB3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Работы должны проводится силами Исполнителя в режиме удаленного доступа к инфраструктуре заказчика в соответствии с требованиями и условиями, указанными в Приложении 6 к настоящему Техническому заданию</w:t>
      </w:r>
    </w:p>
    <w:p w:rsidR="00461FB3" w:rsidRPr="00461FB3" w:rsidRDefault="00461FB3" w:rsidP="00461FB3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keepNext/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контроля и приемки выполненных работ</w:t>
      </w:r>
    </w:p>
    <w:p w:rsidR="009A4045" w:rsidRPr="00461FB3" w:rsidRDefault="009A4045" w:rsidP="00461FB3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Приемка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выполненных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основана на определении соответствия результатов работ Заявкам на доработку и </w:t>
      </w: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ТП.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</w:t>
      </w:r>
      <w:proofErr w:type="spell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ИПК за свой счет.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По результатам прохождения приемочного тестирования подписывается Протокол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выполненных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по Заявке на доработку уполномоченным лицом со стороны Исполнителя и уполномоченным лицом со стороны Заказчика.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Форма Заявки на доработку и Протокола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выполненных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по Заявке на доработку представлены в приложении к ТЗ [Приложение №1].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A4045" w:rsidRPr="00461FB3" w:rsidRDefault="009A4045" w:rsidP="00461FB3">
      <w:pPr>
        <w:numPr>
          <w:ilvl w:val="0"/>
          <w:numId w:val="15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по срокам и объемам предоставления гарантий выполненных работ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Срок предоставления гарантии качества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выполненных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1 (один) год с даты подписания сторонами Акта выполненных работ.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t xml:space="preserve">В течение данного периода Исполнитель должен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выполнять работы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выполненных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по доработке </w:t>
      </w:r>
      <w:proofErr w:type="spell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ИПК (Далее – Технические ошибки).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В случае, если в рамках развития </w:t>
      </w:r>
      <w:proofErr w:type="spell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ИПК, Заказчиком или иной организацией были внесены изменения в результаты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выполненных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Исполнителя по Заявкам на доработку, то такие результаты работ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выполняемых </w:t>
      </w:r>
      <w:proofErr w:type="spellStart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работатах</w:t>
      </w:r>
      <w:proofErr w:type="spell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Исполнителем.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A4045" w:rsidRPr="00461FB3" w:rsidRDefault="009A4045" w:rsidP="00461FB3">
      <w:pPr>
        <w:numPr>
          <w:ilvl w:val="0"/>
          <w:numId w:val="15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оформления разработок</w:t>
      </w:r>
    </w:p>
    <w:p w:rsidR="009A4045" w:rsidRPr="00461FB3" w:rsidRDefault="009A4045" w:rsidP="00461FB3">
      <w:pPr>
        <w:widowControl w:val="0"/>
        <w:numPr>
          <w:ilvl w:val="1"/>
          <w:numId w:val="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Оформление разработок выполняется в соответствии с требованиями, зафиксированными в Заявке.</w:t>
      </w:r>
    </w:p>
    <w:p w:rsidR="009A4045" w:rsidRPr="00461FB3" w:rsidRDefault="009A4045" w:rsidP="00461FB3">
      <w:pPr>
        <w:widowControl w:val="0"/>
        <w:numPr>
          <w:ilvl w:val="1"/>
          <w:numId w:val="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:rsidR="009A4045" w:rsidRPr="00461FB3" w:rsidRDefault="009A4045" w:rsidP="00461FB3">
      <w:pPr>
        <w:widowControl w:val="0"/>
        <w:numPr>
          <w:ilvl w:val="1"/>
          <w:numId w:val="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Реализуемая логика дорабатываемых модулей </w:t>
      </w:r>
      <w:proofErr w:type="spellStart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биллингового</w:t>
      </w:r>
      <w:proofErr w:type="spellEnd"/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ИПК должна содержать логические блоки, оформленные в отдельные процедуры и подмодули. Требуется избегать логически одинаковых подмодулей.</w:t>
      </w:r>
    </w:p>
    <w:p w:rsidR="009A4045" w:rsidRPr="00461FB3" w:rsidRDefault="009A4045" w:rsidP="00461FB3">
      <w:pPr>
        <w:widowControl w:val="0"/>
        <w:numPr>
          <w:ilvl w:val="1"/>
          <w:numId w:val="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:rsidR="009A4045" w:rsidRPr="00461FB3" w:rsidRDefault="009A4045" w:rsidP="00461FB3">
      <w:pPr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Логически структурирован.</w:t>
      </w:r>
    </w:p>
    <w:p w:rsidR="009A4045" w:rsidRPr="00461FB3" w:rsidRDefault="009A4045" w:rsidP="00461FB3">
      <w:pPr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Содержать комментарии в достаточном для понимания основных логических веток, объеме.</w:t>
      </w:r>
    </w:p>
    <w:p w:rsidR="009A4045" w:rsidRPr="00461FB3" w:rsidRDefault="009A4045" w:rsidP="00461FB3">
      <w:pPr>
        <w:numPr>
          <w:ilvl w:val="0"/>
          <w:numId w:val="7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Иметь логически правильное и связанное наименование переменных.</w:t>
      </w:r>
    </w:p>
    <w:p w:rsidR="009A4045" w:rsidRPr="00461FB3" w:rsidRDefault="009A4045" w:rsidP="00461FB3">
      <w:pPr>
        <w:numPr>
          <w:ilvl w:val="0"/>
          <w:numId w:val="7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>Не содержать незакрытых итераторов и обращений к базам данных.</w:t>
      </w:r>
    </w:p>
    <w:p w:rsidR="009A4045" w:rsidRPr="00461FB3" w:rsidRDefault="009A4045" w:rsidP="00461FB3">
      <w:pPr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В рамках внутреннего тестирования Исполнителем, должны готовиться нагрузочные тесты в том случае, если они предусмотрены в Заявке. </w:t>
      </w:r>
    </w:p>
    <w:p w:rsidR="009A4045" w:rsidRDefault="009A4045" w:rsidP="00461FB3">
      <w:pPr>
        <w:widowControl w:val="0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Правила оформления и публикация программного кода в соответствии с Заявкой. </w:t>
      </w:r>
    </w:p>
    <w:p w:rsidR="00461FB3" w:rsidRPr="00461FB3" w:rsidRDefault="00461FB3" w:rsidP="00461FB3">
      <w:pPr>
        <w:widowControl w:val="0"/>
        <w:tabs>
          <w:tab w:val="left" w:pos="1134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numPr>
          <w:ilvl w:val="0"/>
          <w:numId w:val="15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Требования к Исполнителю </w:t>
      </w:r>
    </w:p>
    <w:p w:rsidR="009A4045" w:rsidRPr="00461FB3" w:rsidRDefault="009A4045" w:rsidP="00461FB3">
      <w:pPr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Наличие статуса аттестованного партнера 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С:Франчайз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;</w:t>
      </w:r>
    </w:p>
    <w:p w:rsidR="009A4045" w:rsidRPr="00461FB3" w:rsidRDefault="009A4045" w:rsidP="00461FB3">
      <w:pPr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Наличие сертифицированных специалистов по 1С. Подтверждается наличием сертификатов:</w:t>
      </w:r>
    </w:p>
    <w:p w:rsidR="009A4045" w:rsidRPr="00461FB3" w:rsidRDefault="009A4045" w:rsidP="00461FB3">
      <w:pPr>
        <w:pStyle w:val="a4"/>
        <w:numPr>
          <w:ilvl w:val="0"/>
          <w:numId w:val="18"/>
        </w:numPr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</w:rPr>
        <w:t>«1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</w:rPr>
        <w:t>С:Руководитель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</w:rPr>
        <w:t xml:space="preserve"> корпоративных проектов» – не менее 1.</w:t>
      </w:r>
    </w:p>
    <w:p w:rsidR="009A4045" w:rsidRDefault="009A4045" w:rsidP="00461FB3">
      <w:pPr>
        <w:pStyle w:val="a4"/>
        <w:numPr>
          <w:ilvl w:val="0"/>
          <w:numId w:val="18"/>
        </w:numPr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</w:rPr>
        <w:t>«1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</w:rPr>
        <w:t>С:Эксперт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</w:rPr>
        <w:t xml:space="preserve"> по технологическим вопросам»– не менее 1.</w:t>
      </w:r>
    </w:p>
    <w:p w:rsidR="00461FB3" w:rsidRPr="00461FB3" w:rsidRDefault="00461FB3" w:rsidP="00461FB3">
      <w:pPr>
        <w:pStyle w:val="a4"/>
        <w:ind w:left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9A4045" w:rsidRPr="00461FB3" w:rsidRDefault="009A4045" w:rsidP="00461FB3">
      <w:pPr>
        <w:numPr>
          <w:ilvl w:val="0"/>
          <w:numId w:val="15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 приложений к техническому заданию</w:t>
      </w:r>
    </w:p>
    <w:p w:rsidR="009A4045" w:rsidRPr="00461FB3" w:rsidRDefault="009A4045" w:rsidP="00461FB3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№1 «Формы Заявок на доработку».</w:t>
      </w:r>
    </w:p>
    <w:p w:rsidR="009A4045" w:rsidRPr="00461FB3" w:rsidRDefault="009A4045" w:rsidP="00461FB3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№2 к Заявке на доработку «Состав работ».</w:t>
      </w:r>
    </w:p>
    <w:p w:rsidR="009A4045" w:rsidRPr="00461FB3" w:rsidRDefault="009A4045" w:rsidP="00461FB3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Приложение №3 к Заявке на доработку «Требования к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выполнению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».</w:t>
      </w:r>
    </w:p>
    <w:p w:rsidR="009A4045" w:rsidRPr="00461FB3" w:rsidRDefault="009A4045" w:rsidP="00461FB3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№4 к Заявке на доработку «Протокол передачи удаленных рабочих мест».</w:t>
      </w:r>
    </w:p>
    <w:p w:rsidR="009A4045" w:rsidRPr="00461FB3" w:rsidRDefault="009A4045" w:rsidP="00461FB3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Приложение №5 к Заявке на доработку «Результаты работ, Протокол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выполненных работ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по Заявке на доработку».</w:t>
      </w:r>
    </w:p>
    <w:p w:rsidR="009A4045" w:rsidRPr="00461FB3" w:rsidRDefault="009A4045" w:rsidP="00461FB3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№6 Требования по информационной безопасности для удаленного доступа подрядчиков к инфраструктуре ПАО «Т Плюс».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A4045" w:rsidRPr="00461FB3" w:rsidRDefault="009A4045" w:rsidP="00461FB3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№1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информационной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биллинговой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системы 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</w:p>
    <w:p w:rsidR="009A4045" w:rsidRPr="00461FB3" w:rsidRDefault="009A4045" w:rsidP="00461FB3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Форма Заявки на доработку по Фиксированному перечню </w:t>
      </w:r>
      <w:proofErr w:type="gramStart"/>
      <w:r w:rsidRPr="00461FB3">
        <w:rPr>
          <w:rFonts w:ascii="Tahoma" w:eastAsia="Times New Roman" w:hAnsi="Tahoma" w:cs="Tahoma"/>
          <w:sz w:val="20"/>
          <w:szCs w:val="20"/>
          <w:lang w:eastAsia="ru-RU"/>
        </w:rPr>
        <w:t>Работ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br/>
        <w:t>(</w:t>
      </w:r>
      <w:proofErr w:type="gramEnd"/>
      <w:r w:rsidRPr="00461FB3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п. 3.2.1 настоящего ТЗ)</w:t>
      </w:r>
    </w:p>
    <w:p w:rsidR="009A4045" w:rsidRPr="00461FB3" w:rsidRDefault="009A4045" w:rsidP="00461FB3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9A4045" w:rsidRPr="00461FB3" w:rsidRDefault="009A4045" w:rsidP="00461FB3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461FB3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9A4045" w:rsidRPr="00461FB3" w:rsidRDefault="009A4045" w:rsidP="00461FB3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9A4045" w:rsidRPr="00461FB3" w:rsidRDefault="009A4045" w:rsidP="00461FB3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9A4045" w:rsidRPr="00461FB3" w:rsidTr="00451DF4">
        <w:tc>
          <w:tcPr>
            <w:tcW w:w="358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выполненных работ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9A4045" w:rsidRPr="00461FB3" w:rsidTr="00451DF4">
        <w:trPr>
          <w:trHeight w:val="423"/>
        </w:trPr>
        <w:tc>
          <w:tcPr>
            <w:tcW w:w="358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4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4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4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A4045" w:rsidRPr="00461FB3" w:rsidRDefault="009A4045" w:rsidP="00461FB3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 Цена работ: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1.1. Общая цена Работ по настоящей Заявке составляет ___________ (___________) рублей _____копеек, в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т.ч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 НДС 20% _____ (_________) рублей ___ копеек.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Работ и требования к оказанию: __________________.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Работ: ____________________________.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Работ: ________________________________.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461FB3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: (ТП, иное) указывается по необходимости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9A4045" w:rsidRPr="00461FB3" w:rsidRDefault="009A4045" w:rsidP="00461FB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61FB3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ФИО, должность, адрес эл. почты</w:t>
      </w:r>
    </w:p>
    <w:p w:rsidR="009A4045" w:rsidRPr="00461FB3" w:rsidRDefault="009A4045" w:rsidP="00461FB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61FB3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ФИО, должность, адрес эл. почты.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461FB3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9A4045" w:rsidRPr="00461FB3" w:rsidRDefault="009A4045" w:rsidP="00461FB3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Форма Заявки на доработку функционала корпоративной информационной системы 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сверх Фиксированного перечня Работ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(в соответствии с п. 3.2.2 настоящего ТЗ)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461FB3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9A4045" w:rsidRPr="00461FB3" w:rsidRDefault="009A4045" w:rsidP="00461FB3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9A4045" w:rsidRPr="00461FB3" w:rsidRDefault="009A4045" w:rsidP="00461FB3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9A4045" w:rsidRPr="00461FB3" w:rsidTr="00451DF4">
        <w:tc>
          <w:tcPr>
            <w:tcW w:w="358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Работ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Ставка, </w:t>
            </w:r>
            <w:proofErr w:type="spellStart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/час, 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Работ,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9A4045" w:rsidRPr="00461FB3" w:rsidTr="00451DF4">
        <w:tc>
          <w:tcPr>
            <w:tcW w:w="358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58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Работы разработчика</w:t>
            </w:r>
          </w:p>
        </w:tc>
        <w:tc>
          <w:tcPr>
            <w:tcW w:w="993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5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1131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5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1131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5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1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A4045" w:rsidRPr="00461FB3" w:rsidRDefault="009A4045" w:rsidP="00461FB3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 Цена Работ: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1.1. Общая цена Работ по настоящей Заявке составляет ___________ (___________) рублей _____копеек, в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т.ч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 НДС 20% _____ (_________) рублей ___ копеек.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Работ и требования к оказанию: __________________.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Работ: ____________________________.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Работ: ________________________________.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461FB3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: (ТП, иное) указывается по необходимости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9A4045" w:rsidRPr="00461FB3" w:rsidRDefault="009A4045" w:rsidP="00461FB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61FB3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ФИО, должность, адрес эл. почты</w:t>
      </w:r>
    </w:p>
    <w:p w:rsidR="009A4045" w:rsidRPr="00461FB3" w:rsidRDefault="009A4045" w:rsidP="00461FB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61FB3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ФИО, должность, адрес эл. почты.</w:t>
      </w:r>
    </w:p>
    <w:p w:rsidR="009A4045" w:rsidRPr="00461FB3" w:rsidRDefault="009A4045" w:rsidP="00461FB3">
      <w:pPr>
        <w:pStyle w:val="a4"/>
        <w:numPr>
          <w:ilvl w:val="0"/>
          <w:numId w:val="2"/>
        </w:numPr>
        <w:shd w:val="clear" w:color="auto" w:fill="FFFFFF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461FB3">
        <w:rPr>
          <w:rFonts w:ascii="Tahoma" w:eastAsia="Times New Roman" w:hAnsi="Tahoma" w:cs="Tahoma"/>
          <w:sz w:val="20"/>
          <w:szCs w:val="20"/>
        </w:rPr>
        <w:t xml:space="preserve">Подписи </w:t>
      </w:r>
      <w:r w:rsidRPr="00461FB3">
        <w:rPr>
          <w:rFonts w:ascii="Tahoma" w:eastAsia="Times New Roman" w:hAnsi="Tahoma" w:cs="Tahoma"/>
          <w:caps/>
          <w:sz w:val="20"/>
          <w:szCs w:val="20"/>
        </w:rPr>
        <w:t>Сторон</w:t>
      </w:r>
      <w:r w:rsidRPr="00461FB3">
        <w:rPr>
          <w:rFonts w:ascii="Tahoma" w:eastAsia="Times New Roman" w:hAnsi="Tahoma" w:cs="Tahoma"/>
          <w:sz w:val="20"/>
          <w:szCs w:val="20"/>
        </w:rPr>
        <w:t xml:space="preserve">.   </w:t>
      </w:r>
    </w:p>
    <w:p w:rsidR="009A4045" w:rsidRPr="00461FB3" w:rsidRDefault="009A4045" w:rsidP="00461FB3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9A4045" w:rsidRPr="00461FB3" w:rsidRDefault="009A4045" w:rsidP="00461FB3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 xml:space="preserve">Форма Протокола выполненных Работ по Заявке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на доработку по Фиксированному перечню Работ </w:t>
      </w:r>
    </w:p>
    <w:p w:rsidR="009A4045" w:rsidRPr="00461FB3" w:rsidRDefault="009A4045" w:rsidP="00461FB3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(в соответствии с п. 3.2.1. настоящего ТЗ)</w:t>
      </w:r>
    </w:p>
    <w:p w:rsidR="009A4045" w:rsidRPr="00461FB3" w:rsidRDefault="009A4045" w:rsidP="00461FB3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9A4045" w:rsidRPr="00461FB3" w:rsidTr="00451DF4">
        <w:tc>
          <w:tcPr>
            <w:tcW w:w="358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оказания 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Состав </w:t>
            </w:r>
            <w:proofErr w:type="spellStart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выполенныхРабот</w:t>
            </w:r>
            <w:proofErr w:type="spellEnd"/>
          </w:p>
        </w:tc>
        <w:tc>
          <w:tcPr>
            <w:tcW w:w="2409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9A4045" w:rsidRPr="00461FB3" w:rsidTr="00451DF4">
        <w:trPr>
          <w:trHeight w:val="528"/>
        </w:trPr>
        <w:tc>
          <w:tcPr>
            <w:tcW w:w="358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4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4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340"/>
        </w:trPr>
        <w:tc>
          <w:tcPr>
            <w:tcW w:w="7225" w:type="dxa"/>
            <w:gridSpan w:val="4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A4045" w:rsidRPr="00461FB3" w:rsidRDefault="009A4045" w:rsidP="00461FB3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Работ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 выполнены в соответствии с требованиями к Заявке в полном объеме и должном качестве. Претензии к выполнению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Работ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 отсутствуют. </w:t>
      </w: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pageBreakBefore/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Протокола выполненных Работ на доработку </w:t>
      </w:r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сверх Фиксированного перечня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Работ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 (в соответствии с п. 3.2.2 настоящего ТЗ)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9A4045" w:rsidRPr="00461FB3" w:rsidTr="00451DF4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4045" w:rsidRPr="00461FB3" w:rsidDel="009B57B8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выполненных Работ,</w:t>
            </w:r>
          </w:p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чел./часа,</w:t>
            </w:r>
          </w:p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выполненных Работ,</w:t>
            </w:r>
          </w:p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</w:tr>
      <w:tr w:rsidR="009A4045" w:rsidRPr="00461FB3" w:rsidTr="00451DF4">
        <w:trPr>
          <w:trHeight w:val="330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Работ </w:t>
            </w:r>
          </w:p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9A4045" w:rsidRPr="00461FB3" w:rsidRDefault="009A4045" w:rsidP="00461FB3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оказаны в соответствии с требованиями к Заявке в полном объеме и должном качестве. Претензии к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выполнению Работ 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отсутствуют. </w:t>
      </w: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pStyle w:val="a4"/>
        <w:shd w:val="clear" w:color="auto" w:fill="FFFFFF"/>
        <w:ind w:left="0"/>
        <w:jc w:val="both"/>
        <w:rPr>
          <w:rFonts w:ascii="Tahoma" w:eastAsia="Times New Roman" w:hAnsi="Tahoma" w:cs="Tahoma"/>
          <w:sz w:val="20"/>
          <w:szCs w:val="20"/>
        </w:rPr>
      </w:pPr>
    </w:p>
    <w:p w:rsidR="009A4045" w:rsidRPr="00461FB3" w:rsidRDefault="009A4045" w:rsidP="00461FB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9A4045" w:rsidRPr="00461FB3" w:rsidRDefault="009A4045" w:rsidP="00461FB3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№2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информационной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биллинговой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системы 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</w:p>
    <w:p w:rsidR="009A4045" w:rsidRPr="00461FB3" w:rsidRDefault="009A4045" w:rsidP="00461FB3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sz w:val="20"/>
          <w:szCs w:val="20"/>
          <w:lang w:eastAsia="ru-RU"/>
        </w:rPr>
        <w:t>Состав Работ</w:t>
      </w:r>
    </w:p>
    <w:p w:rsidR="009A4045" w:rsidRPr="00461FB3" w:rsidRDefault="009A4045" w:rsidP="00461FB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Целью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выполнения Работ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 xml:space="preserve">Функциональные требования на доработку существующей системы 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  <w:r w:rsidRPr="00461FB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9A4045" w:rsidRPr="00461FB3" w:rsidTr="00451DF4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:rsidR="009A4045" w:rsidRPr="00461FB3" w:rsidRDefault="009A4045" w:rsidP="0046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Описание требования</w:t>
            </w:r>
          </w:p>
        </w:tc>
      </w:tr>
      <w:tr w:rsidR="009A4045" w:rsidRPr="00461FB3" w:rsidTr="00451DF4">
        <w:tc>
          <w:tcPr>
            <w:tcW w:w="529" w:type="dxa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8" w:type="dxa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9A4045" w:rsidRPr="00461FB3" w:rsidRDefault="009A4045" w:rsidP="00461FB3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c>
          <w:tcPr>
            <w:tcW w:w="529" w:type="dxa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8" w:type="dxa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c>
          <w:tcPr>
            <w:tcW w:w="529" w:type="dxa"/>
            <w:vAlign w:val="center"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8" w:type="dxa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№3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информационной </w:t>
      </w: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биллинговой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системы 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</w:p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выполнению работ</w:t>
      </w:r>
    </w:p>
    <w:p w:rsidR="009A4045" w:rsidRPr="00461FB3" w:rsidRDefault="009A4045" w:rsidP="00461FB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Настоящий документ регламентирует требования к инфраструктуре и требования к выполнению работ.</w:t>
      </w: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инфраструктуре</w:t>
      </w: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выполнению работ: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устранению замечаний:</w:t>
      </w: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tbl>
      <w:tblPr>
        <w:tblW w:w="13624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943"/>
        <w:gridCol w:w="584"/>
        <w:gridCol w:w="513"/>
        <w:gridCol w:w="1838"/>
        <w:gridCol w:w="2587"/>
        <w:gridCol w:w="433"/>
        <w:gridCol w:w="1263"/>
        <w:gridCol w:w="1473"/>
        <w:gridCol w:w="2765"/>
      </w:tblGrid>
      <w:tr w:rsidR="009A4045" w:rsidRPr="00461FB3" w:rsidTr="00451DF4">
        <w:trPr>
          <w:trHeight w:val="300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4045" w:rsidRPr="00461FB3" w:rsidRDefault="009A4045" w:rsidP="00461FB3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Приложение №4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4045" w:rsidRPr="00461FB3" w:rsidRDefault="009A4045" w:rsidP="00461FB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 Техническому заданию на выполнение работ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по доработке функциональности корпоративной информационной </w:t>
            </w:r>
            <w:proofErr w:type="spellStart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биллинговой</w:t>
            </w:r>
            <w:proofErr w:type="spellEnd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системы 1</w:t>
            </w:r>
            <w:proofErr w:type="gramStart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С:Энергобиллинг</w:t>
            </w:r>
            <w:proofErr w:type="gramEnd"/>
          </w:p>
        </w:tc>
      </w:tr>
      <w:tr w:rsidR="009A4045" w:rsidRPr="00461FB3" w:rsidTr="00451DF4">
        <w:trPr>
          <w:gridAfter w:val="10"/>
          <w:wAfter w:w="13199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Протокол передачи удалённых рабочих мест</w:t>
            </w: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9A4045" w:rsidRPr="00461FB3" w:rsidTr="00451DF4">
        <w:trPr>
          <w:gridAfter w:val="1"/>
          <w:wAfter w:w="276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Версия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 предоставлено</w:t>
            </w:r>
          </w:p>
        </w:tc>
      </w:tr>
      <w:tr w:rsidR="009A4045" w:rsidRPr="00461FB3" w:rsidTr="00451DF4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A4045" w:rsidRPr="00461FB3" w:rsidRDefault="009A4045" w:rsidP="00461F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  <w:proofErr w:type="gramStart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С:Энергобиллинг</w:t>
            </w:r>
            <w:proofErr w:type="gramEnd"/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45" w:rsidRPr="00461FB3" w:rsidRDefault="009A4045" w:rsidP="00461F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915" w:type="dxa"/>
        <w:tblInd w:w="-1134" w:type="dxa"/>
        <w:tblLook w:val="04A0" w:firstRow="1" w:lastRow="0" w:firstColumn="1" w:lastColumn="0" w:noHBand="0" w:noVBand="1"/>
      </w:tblPr>
      <w:tblGrid>
        <w:gridCol w:w="10915"/>
      </w:tblGrid>
      <w:tr w:rsidR="009A4045" w:rsidRPr="00461FB3" w:rsidTr="00451DF4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4045" w:rsidRPr="00461FB3" w:rsidRDefault="009A4045" w:rsidP="00461FB3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61FB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№5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A4045" w:rsidRPr="00461FB3" w:rsidTr="00451DF4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4045" w:rsidRPr="00461FB3" w:rsidRDefault="009A4045" w:rsidP="00461FB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 Техническому заданию на выполнение работ</w:t>
            </w:r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по доработке функциональности корпоративной информационной </w:t>
            </w:r>
          </w:p>
          <w:p w:rsidR="009A4045" w:rsidRPr="00461FB3" w:rsidRDefault="009A4045" w:rsidP="00461FB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биллинговой</w:t>
            </w:r>
            <w:proofErr w:type="spellEnd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системы 1</w:t>
            </w:r>
            <w:proofErr w:type="gramStart"/>
            <w:r w:rsidRPr="00461F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С:Энергобиллинг</w:t>
            </w:r>
            <w:proofErr w:type="gramEnd"/>
          </w:p>
        </w:tc>
      </w:tr>
    </w:tbl>
    <w:p w:rsidR="009A4045" w:rsidRPr="00461FB3" w:rsidRDefault="009A4045" w:rsidP="00461FB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b/>
          <w:sz w:val="20"/>
          <w:szCs w:val="20"/>
          <w:lang w:eastAsia="ru-RU"/>
        </w:rPr>
        <w:t>Результаты Работ</w:t>
      </w:r>
    </w:p>
    <w:p w:rsidR="009A4045" w:rsidRPr="00461FB3" w:rsidRDefault="009A4045" w:rsidP="00461FB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В результате выполнены работы:</w:t>
      </w:r>
    </w:p>
    <w:p w:rsidR="009A4045" w:rsidRPr="00461FB3" w:rsidRDefault="009A4045" w:rsidP="00461FB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9A4045" w:rsidRPr="00461FB3" w:rsidRDefault="009A4045" w:rsidP="00461FB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9A4045" w:rsidRPr="00461FB3" w:rsidRDefault="009A4045" w:rsidP="00461FB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9A4045" w:rsidRPr="00461FB3" w:rsidRDefault="009A4045" w:rsidP="00461FB3">
      <w:pPr>
        <w:pStyle w:val="a4"/>
        <w:widowControl w:val="0"/>
        <w:autoSpaceDE w:val="0"/>
        <w:autoSpaceDN w:val="0"/>
        <w:ind w:left="0"/>
        <w:jc w:val="center"/>
        <w:rPr>
          <w:rFonts w:ascii="Tahoma" w:eastAsia="Times New Roman" w:hAnsi="Tahoma" w:cs="Tahoma"/>
          <w:b/>
          <w:bCs/>
          <w:caps/>
          <w:sz w:val="20"/>
          <w:szCs w:val="20"/>
        </w:rPr>
      </w:pPr>
    </w:p>
    <w:p w:rsidR="009A4045" w:rsidRPr="00461FB3" w:rsidRDefault="009A4045" w:rsidP="00461FB3">
      <w:pPr>
        <w:pStyle w:val="a4"/>
        <w:widowControl w:val="0"/>
        <w:autoSpaceDE w:val="0"/>
        <w:autoSpaceDN w:val="0"/>
        <w:ind w:left="0"/>
        <w:jc w:val="center"/>
        <w:rPr>
          <w:rFonts w:ascii="Tahoma" w:eastAsia="Times New Roman" w:hAnsi="Tahoma" w:cs="Tahoma"/>
          <w:b/>
          <w:bCs/>
          <w:caps/>
          <w:sz w:val="20"/>
          <w:szCs w:val="20"/>
        </w:rPr>
      </w:pPr>
    </w:p>
    <w:p w:rsidR="009A4045" w:rsidRPr="00461FB3" w:rsidRDefault="009A4045" w:rsidP="00461FB3">
      <w:pPr>
        <w:pStyle w:val="a4"/>
        <w:widowControl w:val="0"/>
        <w:autoSpaceDE w:val="0"/>
        <w:autoSpaceDN w:val="0"/>
        <w:ind w:left="0"/>
        <w:jc w:val="center"/>
        <w:rPr>
          <w:rFonts w:ascii="Tahoma" w:eastAsia="Times New Roman" w:hAnsi="Tahoma" w:cs="Tahoma"/>
          <w:b/>
          <w:bCs/>
          <w:caps/>
          <w:sz w:val="20"/>
          <w:szCs w:val="20"/>
        </w:rPr>
      </w:pPr>
    </w:p>
    <w:p w:rsidR="009A4045" w:rsidRPr="00461FB3" w:rsidRDefault="009A4045" w:rsidP="00461FB3">
      <w:pPr>
        <w:pStyle w:val="a4"/>
        <w:widowControl w:val="0"/>
        <w:autoSpaceDE w:val="0"/>
        <w:autoSpaceDN w:val="0"/>
        <w:ind w:left="0"/>
        <w:jc w:val="center"/>
        <w:rPr>
          <w:rFonts w:ascii="Tahoma" w:eastAsia="Times New Roman" w:hAnsi="Tahoma" w:cs="Tahoma"/>
          <w:b/>
          <w:bCs/>
          <w:caps/>
          <w:sz w:val="20"/>
          <w:szCs w:val="20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p w:rsidR="009A4045" w:rsidRPr="00461FB3" w:rsidRDefault="009A4045" w:rsidP="00461F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9A4045" w:rsidRPr="00461FB3" w:rsidRDefault="009A4045" w:rsidP="00461FB3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61FB3">
        <w:rPr>
          <w:rFonts w:ascii="Tahoma" w:hAnsi="Tahoma" w:cs="Tahoma"/>
          <w:sz w:val="20"/>
          <w:szCs w:val="20"/>
        </w:rPr>
        <w:lastRenderedPageBreak/>
        <w:t>Приложение №6</w:t>
      </w:r>
    </w:p>
    <w:p w:rsidR="009A4045" w:rsidRPr="00461FB3" w:rsidRDefault="009A4045" w:rsidP="00461FB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информационной </w:t>
      </w:r>
    </w:p>
    <w:p w:rsidR="009A4045" w:rsidRPr="00461FB3" w:rsidRDefault="009A4045" w:rsidP="00461FB3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proofErr w:type="spell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биллинговой</w:t>
      </w:r>
      <w:proofErr w:type="spellEnd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системы 1</w:t>
      </w:r>
      <w:proofErr w:type="gramStart"/>
      <w:r w:rsidRPr="00461FB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С:Энергобиллинг</w:t>
      </w:r>
      <w:proofErr w:type="gramEnd"/>
    </w:p>
    <w:p w:rsidR="009A4045" w:rsidRPr="00461FB3" w:rsidRDefault="009A4045" w:rsidP="00461FB3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461FB3">
        <w:rPr>
          <w:rFonts w:ascii="Tahoma" w:hAnsi="Tahoma" w:cs="Tahoma"/>
          <w:b/>
          <w:sz w:val="20"/>
          <w:szCs w:val="20"/>
        </w:rPr>
        <w:t>ВЕРСИЯ 4.5</w:t>
      </w:r>
    </w:p>
    <w:p w:rsidR="009A4045" w:rsidRPr="00461FB3" w:rsidRDefault="009A4045" w:rsidP="00461FB3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61FB3">
        <w:rPr>
          <w:rFonts w:ascii="Tahoma" w:hAnsi="Tahoma" w:cs="Tahoma"/>
          <w:sz w:val="20"/>
          <w:szCs w:val="20"/>
        </w:rPr>
        <w:t>От 08.02.2024</w:t>
      </w:r>
    </w:p>
    <w:p w:rsidR="009A4045" w:rsidRPr="00461FB3" w:rsidRDefault="009A4045" w:rsidP="00461FB3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9A4045" w:rsidRPr="00461FB3" w:rsidRDefault="009A4045" w:rsidP="00461FB3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61FB3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:rsidR="009A4045" w:rsidRPr="00461FB3" w:rsidRDefault="009A4045" w:rsidP="00461FB3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61FB3">
        <w:rPr>
          <w:rFonts w:ascii="Tahoma" w:hAnsi="Tahoma" w:cs="Tahoma"/>
          <w:b/>
          <w:sz w:val="20"/>
          <w:szCs w:val="20"/>
        </w:rPr>
        <w:t xml:space="preserve">для удаленного доступа подрядчиков </w:t>
      </w:r>
    </w:p>
    <w:p w:rsidR="009A4045" w:rsidRPr="00461FB3" w:rsidRDefault="009A4045" w:rsidP="00461FB3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61FB3">
        <w:rPr>
          <w:rFonts w:ascii="Tahoma" w:hAnsi="Tahoma" w:cs="Tahoma"/>
          <w:b/>
          <w:sz w:val="20"/>
          <w:szCs w:val="20"/>
        </w:rPr>
        <w:t>к инфраструктуре ПАО "Т Плюс"</w:t>
      </w:r>
    </w:p>
    <w:p w:rsidR="009A4045" w:rsidRPr="00461FB3" w:rsidRDefault="009A4045" w:rsidP="00461FB3">
      <w:pPr>
        <w:tabs>
          <w:tab w:val="left" w:pos="317"/>
        </w:tabs>
        <w:spacing w:after="0" w:line="240" w:lineRule="auto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9A4045" w:rsidRPr="00461FB3" w:rsidRDefault="009A4045" w:rsidP="00461FB3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61FB3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Термины и определения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Исполнитель – компания, индивидуальный предприниматель, гражданин РФ в статусе «</w:t>
      </w:r>
      <w:proofErr w:type="spellStart"/>
      <w:r w:rsidRPr="00461FB3">
        <w:rPr>
          <w:color w:val="000000" w:themeColor="text1"/>
        </w:rPr>
        <w:t>самозанятый</w:t>
      </w:r>
      <w:proofErr w:type="spellEnd"/>
      <w:r w:rsidRPr="00461FB3">
        <w:rPr>
          <w:color w:val="000000" w:themeColor="text1"/>
        </w:rPr>
        <w:t>», заключивший договор с одним из юридических лиц, входящих в Группу «Т Плюс».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Заказчик - юридическое лицо, входящее в Группу «Т Плюс».</w:t>
      </w:r>
    </w:p>
    <w:p w:rsidR="009A4045" w:rsidRPr="00461FB3" w:rsidRDefault="009A4045" w:rsidP="00461FB3">
      <w:pPr>
        <w:pStyle w:val="a4"/>
        <w:tabs>
          <w:tab w:val="left" w:pos="1134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9A4045" w:rsidRPr="00461FB3" w:rsidRDefault="009A4045" w:rsidP="00461FB3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61FB3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Нормативная база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Федеральный закон от 27.07.2006 г. № 149-ФЗ «Об информации, информационных технологиях и о защите информации».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Федеральный закон от 26.07.2017 г. № 187-ФЗ «О безопасности критической информационной инфраструктуры Российской Федерации».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Приказ ФСТЭК России от 21.12.2017 г. № 235 «Об утверждении требований к созданию систем безопасности ЗОКИИ РФ».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Приказ ФСТЭК России от 25.12.2017 г. № 239 «Об утверждении требований по обеспечению безопасности ЗОКИИ».</w:t>
      </w:r>
    </w:p>
    <w:p w:rsidR="009A4045" w:rsidRPr="00461FB3" w:rsidRDefault="009A4045" w:rsidP="00461FB3">
      <w:pPr>
        <w:pStyle w:val="a4"/>
        <w:tabs>
          <w:tab w:val="left" w:pos="993"/>
          <w:tab w:val="left" w:pos="1134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9A4045" w:rsidRPr="00461FB3" w:rsidRDefault="009A4045" w:rsidP="00461FB3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61FB3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Общие требования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1Г. 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:rsidR="009A4045" w:rsidRPr="00461FB3" w:rsidRDefault="009A4045" w:rsidP="00461FB3">
      <w:pPr>
        <w:pStyle w:val="a7"/>
        <w:numPr>
          <w:ilvl w:val="2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:rsidR="009A4045" w:rsidRPr="00461FB3" w:rsidRDefault="009A4045" w:rsidP="00461FB3">
      <w:pPr>
        <w:pStyle w:val="a7"/>
        <w:numPr>
          <w:ilvl w:val="2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Заключить соглашение о неразглашении информации (NDA) для выполнения работ в режиме удаленного доступа.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Для выполнения работ Исполнителем в режиме удаленного доступа договор с Исполнителем должен содержать:</w:t>
      </w:r>
    </w:p>
    <w:p w:rsidR="009A4045" w:rsidRPr="00461FB3" w:rsidRDefault="009A4045" w:rsidP="00461FB3">
      <w:pPr>
        <w:pStyle w:val="a7"/>
        <w:numPr>
          <w:ilvl w:val="1"/>
          <w:numId w:val="21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оговорку о дистанционном характере выполнения работ;</w:t>
      </w:r>
    </w:p>
    <w:p w:rsidR="009A4045" w:rsidRPr="00461FB3" w:rsidRDefault="009A4045" w:rsidP="00461FB3">
      <w:pPr>
        <w:pStyle w:val="a7"/>
        <w:numPr>
          <w:ilvl w:val="1"/>
          <w:numId w:val="21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согласие о соответствии настоящим требованиям по информационной безопасности;</w:t>
      </w:r>
    </w:p>
    <w:p w:rsidR="009A4045" w:rsidRPr="00461FB3" w:rsidRDefault="009A4045" w:rsidP="00461FB3">
      <w:pPr>
        <w:pStyle w:val="a7"/>
        <w:numPr>
          <w:ilvl w:val="1"/>
          <w:numId w:val="21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перечень лиц, для которых необходимо предоставить удалённый доступ;</w:t>
      </w:r>
    </w:p>
    <w:p w:rsidR="009A4045" w:rsidRPr="00461FB3" w:rsidRDefault="009A4045" w:rsidP="00461FB3">
      <w:pPr>
        <w:pStyle w:val="a7"/>
        <w:numPr>
          <w:ilvl w:val="1"/>
          <w:numId w:val="21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согласие на обработку персональных данных лиц, указанных в перечне.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Исполнитель обязуется: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не осуществлять несанкционированный доступ к информационным ресурсам Заказчика;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не проводить незаконное копирование информации, циркулирующей или хранящейся у Заказчика;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не внедрять в объекты Заказчика программы-вирусы (загрузочные, файловые и др.);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lastRenderedPageBreak/>
        <w:t>не распространять конфиденциальную информацию о выполняемых работах и полученных результатах;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использовать решения для удаленного доступа, определенные Заказчиком;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использовать удаленный доступ только в целях исполнения договорных обязанностей между Исполнителем и Заказчиком;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Авторизация работника Исполнителя должна осуществляться с учетной записью, выданной Заказчиком, принадлежащей сотруднику Исполнителя. Использование чужой учетной записи не допускается. 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</w:t>
      </w:r>
      <w:proofErr w:type="spellStart"/>
      <w:r w:rsidRPr="00461FB3">
        <w:rPr>
          <w:color w:val="000000" w:themeColor="text1"/>
        </w:rPr>
        <w:t>хостинговых</w:t>
      </w:r>
      <w:proofErr w:type="spellEnd"/>
      <w:r w:rsidRPr="00461FB3">
        <w:rPr>
          <w:color w:val="000000" w:themeColor="text1"/>
        </w:rPr>
        <w:t xml:space="preserve"> компаний (VPS/VDS), расположенных на территории РФ).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 Отчет может быть запрошен специалистами, ответственными за обеспечение информационной безопасности в Обществе в рамках осуществления оперативных мероприятий (расследования инцидентов ИБ).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Удаленный доступ сторонних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на территориальных площадках Заказчика.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Заказчик оставляет за собой право принимать меры с целью защиты своих информационных, программных и системных активов,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В случае компрометации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с момента установления такого события.</w:t>
      </w:r>
    </w:p>
    <w:p w:rsidR="009A4045" w:rsidRPr="00461FB3" w:rsidRDefault="009A4045" w:rsidP="00461FB3">
      <w:pPr>
        <w:pStyle w:val="a4"/>
        <w:tabs>
          <w:tab w:val="left" w:pos="1134"/>
        </w:tabs>
        <w:ind w:left="0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</w:p>
    <w:p w:rsidR="009A4045" w:rsidRPr="00461FB3" w:rsidRDefault="009A4045" w:rsidP="00461FB3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61FB3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Порядок оформления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Доступ сотрудникам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10067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36"/>
        <w:gridCol w:w="1536"/>
        <w:gridCol w:w="1536"/>
        <w:gridCol w:w="1536"/>
        <w:gridCol w:w="1536"/>
        <w:gridCol w:w="1536"/>
      </w:tblGrid>
      <w:tr w:rsidR="009A4045" w:rsidRPr="00461FB3" w:rsidTr="00451DF4">
        <w:trPr>
          <w:trHeight w:val="2958"/>
        </w:trPr>
        <w:tc>
          <w:tcPr>
            <w:tcW w:w="851" w:type="dxa"/>
            <w:shd w:val="clear" w:color="auto" w:fill="auto"/>
            <w:vAlign w:val="center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6" w:type="dxa"/>
            <w:vAlign w:val="center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 с которого будет осуществляться подключение (удаленного устройства).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данных (мобильный телефон и электронная почта).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536" w:type="dxa"/>
            <w:vAlign w:val="center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9A4045" w:rsidRPr="00461FB3" w:rsidTr="00451DF4">
        <w:trPr>
          <w:trHeight w:val="853"/>
        </w:trPr>
        <w:tc>
          <w:tcPr>
            <w:tcW w:w="851" w:type="dxa"/>
            <w:shd w:val="clear" w:color="auto" w:fill="auto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36" w:type="dxa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  <w:shd w:val="clear" w:color="auto" w:fill="auto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  <w:shd w:val="clear" w:color="auto" w:fill="auto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  <w:shd w:val="clear" w:color="auto" w:fill="auto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  <w:shd w:val="clear" w:color="auto" w:fill="auto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36" w:type="dxa"/>
          </w:tcPr>
          <w:p w:rsidR="009A4045" w:rsidRPr="00461FB3" w:rsidRDefault="009A4045" w:rsidP="00461FB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61FB3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:rsidR="009A4045" w:rsidRPr="00461FB3" w:rsidRDefault="009A4045" w:rsidP="00461FB3">
      <w:pPr>
        <w:pStyle w:val="a7"/>
        <w:tabs>
          <w:tab w:val="left" w:pos="993"/>
          <w:tab w:val="left" w:pos="1134"/>
        </w:tabs>
        <w:spacing w:after="0"/>
        <w:ind w:firstLine="0"/>
        <w:rPr>
          <w:color w:val="000000" w:themeColor="text1"/>
        </w:rPr>
      </w:pP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Заявки на предоставление доступа направляются Исполнителем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9A4045" w:rsidRPr="00461FB3" w:rsidRDefault="009A4045" w:rsidP="00461FB3">
      <w:pPr>
        <w:pStyle w:val="a4"/>
        <w:tabs>
          <w:tab w:val="left" w:pos="1134"/>
        </w:tabs>
        <w:ind w:left="0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</w:p>
    <w:p w:rsidR="009A4045" w:rsidRPr="00461FB3" w:rsidRDefault="009A4045" w:rsidP="00461FB3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61FB3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 xml:space="preserve">Порядок надзора за исполнением требований безопасности. 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использовать имеющиеся у Заказчика средства контроля утечки конфиденциальной информации;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использовать имеющиеся у Заказчика средства контроля действий пользователей;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 xml:space="preserve">осуществлять контроль соблюдения Исполнителем требований по защите информации, в </w:t>
      </w:r>
      <w:proofErr w:type="spellStart"/>
      <w:r w:rsidRPr="00461FB3">
        <w:rPr>
          <w:rFonts w:ascii="Tahoma" w:hAnsi="Tahoma" w:cs="Tahoma"/>
          <w:color w:val="000000" w:themeColor="text1"/>
          <w:sz w:val="20"/>
          <w:szCs w:val="20"/>
        </w:rPr>
        <w:t>т.ч</w:t>
      </w:r>
      <w:proofErr w:type="spellEnd"/>
      <w:r w:rsidRPr="00461FB3">
        <w:rPr>
          <w:rFonts w:ascii="Tahoma" w:hAnsi="Tahoma" w:cs="Tahoma"/>
          <w:color w:val="000000" w:themeColor="text1"/>
          <w:sz w:val="20"/>
          <w:szCs w:val="20"/>
        </w:rPr>
        <w:t>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9A4045" w:rsidRPr="00461FB3" w:rsidRDefault="009A4045" w:rsidP="00461FB3">
      <w:pPr>
        <w:pStyle w:val="a7"/>
        <w:numPr>
          <w:ilvl w:val="1"/>
          <w:numId w:val="20"/>
        </w:numPr>
        <w:tabs>
          <w:tab w:val="left" w:pos="993"/>
          <w:tab w:val="left" w:pos="1134"/>
        </w:tabs>
        <w:spacing w:after="0"/>
        <w:ind w:left="0" w:firstLine="0"/>
        <w:rPr>
          <w:color w:val="000000" w:themeColor="text1"/>
        </w:rPr>
      </w:pPr>
      <w:r w:rsidRPr="00461FB3">
        <w:rPr>
          <w:color w:val="000000" w:themeColor="text1"/>
        </w:rPr>
        <w:t xml:space="preserve">Основания для </w:t>
      </w:r>
      <w:proofErr w:type="spellStart"/>
      <w:r w:rsidRPr="00461FB3">
        <w:rPr>
          <w:color w:val="000000" w:themeColor="text1"/>
        </w:rPr>
        <w:t>непредоставления</w:t>
      </w:r>
      <w:proofErr w:type="spellEnd"/>
      <w:r w:rsidRPr="00461FB3">
        <w:rPr>
          <w:color w:val="000000" w:themeColor="text1"/>
        </w:rPr>
        <w:t>, приостановки или прекращения предоставления удаленного доступа: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 xml:space="preserve">не исполнение (в </w:t>
      </w:r>
      <w:proofErr w:type="spellStart"/>
      <w:r w:rsidRPr="00461FB3">
        <w:rPr>
          <w:rFonts w:ascii="Tahoma" w:hAnsi="Tahoma" w:cs="Tahoma"/>
          <w:color w:val="000000" w:themeColor="text1"/>
          <w:sz w:val="20"/>
          <w:szCs w:val="20"/>
        </w:rPr>
        <w:t>т.ч</w:t>
      </w:r>
      <w:proofErr w:type="spellEnd"/>
      <w:r w:rsidRPr="00461FB3">
        <w:rPr>
          <w:rFonts w:ascii="Tahoma" w:hAnsi="Tahoma" w:cs="Tahoma"/>
          <w:color w:val="000000" w:themeColor="text1"/>
          <w:sz w:val="20"/>
          <w:szCs w:val="20"/>
        </w:rPr>
        <w:t>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t>прекращение договорных отношений между сторонами;</w:t>
      </w:r>
    </w:p>
    <w:p w:rsidR="009A4045" w:rsidRPr="00461FB3" w:rsidRDefault="009A4045" w:rsidP="00461FB3">
      <w:pPr>
        <w:pStyle w:val="a"/>
        <w:keepLines/>
        <w:tabs>
          <w:tab w:val="clear" w:pos="360"/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61FB3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 </w:t>
      </w:r>
    </w:p>
    <w:p w:rsidR="009A4045" w:rsidRPr="00461FB3" w:rsidRDefault="009A4045" w:rsidP="00461FB3">
      <w:pPr>
        <w:pStyle w:val="a"/>
        <w:numPr>
          <w:ilvl w:val="0"/>
          <w:numId w:val="0"/>
        </w:numPr>
        <w:rPr>
          <w:rFonts w:ascii="Tahoma" w:hAnsi="Tahoma" w:cs="Tahoma"/>
          <w:color w:val="000000" w:themeColor="text1"/>
          <w:sz w:val="20"/>
          <w:szCs w:val="20"/>
        </w:rPr>
      </w:pPr>
    </w:p>
    <w:p w:rsidR="009A4045" w:rsidRPr="00461FB3" w:rsidRDefault="009A4045" w:rsidP="00461F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E538D" w:rsidRPr="00461FB3" w:rsidRDefault="002E538D" w:rsidP="00461FB3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E538D" w:rsidRPr="00461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  <w:rPr>
        <w:rFonts w:cs="Times New Roman"/>
      </w:r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33E75914"/>
    <w:multiLevelType w:val="multilevel"/>
    <w:tmpl w:val="1BDC2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56D166D4"/>
    <w:multiLevelType w:val="hybridMultilevel"/>
    <w:tmpl w:val="B044D6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5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6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7AA3947"/>
    <w:multiLevelType w:val="hybridMultilevel"/>
    <w:tmpl w:val="4AF2BE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0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7"/>
  </w:num>
  <w:num w:numId="5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cs="Times New Roman" w:hint="default"/>
        </w:rPr>
      </w:lvl>
    </w:lvlOverride>
  </w:num>
  <w:num w:numId="6">
    <w:abstractNumId w:val="4"/>
  </w:num>
  <w:num w:numId="7">
    <w:abstractNumId w:val="15"/>
  </w:num>
  <w:num w:numId="8">
    <w:abstractNumId w:val="0"/>
  </w:num>
  <w:num w:numId="9">
    <w:abstractNumId w:val="12"/>
  </w:num>
  <w:num w:numId="10">
    <w:abstractNumId w:val="2"/>
  </w:num>
  <w:num w:numId="11">
    <w:abstractNumId w:val="11"/>
  </w:num>
  <w:num w:numId="12">
    <w:abstractNumId w:val="6"/>
  </w:num>
  <w:num w:numId="13">
    <w:abstractNumId w:val="19"/>
  </w:num>
  <w:num w:numId="14">
    <w:abstractNumId w:val="16"/>
  </w:num>
  <w:num w:numId="15">
    <w:abstractNumId w:val="5"/>
  </w:num>
  <w:num w:numId="16">
    <w:abstractNumId w:val="17"/>
  </w:num>
  <w:num w:numId="17">
    <w:abstractNumId w:val="13"/>
  </w:num>
  <w:num w:numId="18">
    <w:abstractNumId w:val="8"/>
  </w:num>
  <w:num w:numId="19">
    <w:abstractNumId w:val="20"/>
  </w:num>
  <w:num w:numId="20">
    <w:abstractNumId w:val="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045"/>
    <w:rsid w:val="00000656"/>
    <w:rsid w:val="00000959"/>
    <w:rsid w:val="00003CF8"/>
    <w:rsid w:val="00004452"/>
    <w:rsid w:val="00005210"/>
    <w:rsid w:val="00005CE5"/>
    <w:rsid w:val="00006A96"/>
    <w:rsid w:val="00007E82"/>
    <w:rsid w:val="00010F8E"/>
    <w:rsid w:val="00012239"/>
    <w:rsid w:val="00012304"/>
    <w:rsid w:val="000126B2"/>
    <w:rsid w:val="00014684"/>
    <w:rsid w:val="00015B25"/>
    <w:rsid w:val="000228AC"/>
    <w:rsid w:val="00022D8C"/>
    <w:rsid w:val="000239BA"/>
    <w:rsid w:val="0002704F"/>
    <w:rsid w:val="00027F31"/>
    <w:rsid w:val="000300C9"/>
    <w:rsid w:val="00030218"/>
    <w:rsid w:val="000307F5"/>
    <w:rsid w:val="00030DCE"/>
    <w:rsid w:val="00032847"/>
    <w:rsid w:val="00032C2A"/>
    <w:rsid w:val="0003400A"/>
    <w:rsid w:val="0003647F"/>
    <w:rsid w:val="00040B68"/>
    <w:rsid w:val="00041F18"/>
    <w:rsid w:val="00042954"/>
    <w:rsid w:val="00042DD5"/>
    <w:rsid w:val="00043101"/>
    <w:rsid w:val="000441DF"/>
    <w:rsid w:val="000442AB"/>
    <w:rsid w:val="00044397"/>
    <w:rsid w:val="000446A0"/>
    <w:rsid w:val="0004601F"/>
    <w:rsid w:val="00047212"/>
    <w:rsid w:val="00050CAC"/>
    <w:rsid w:val="00053C03"/>
    <w:rsid w:val="00055E4B"/>
    <w:rsid w:val="00056356"/>
    <w:rsid w:val="0005653D"/>
    <w:rsid w:val="00061D33"/>
    <w:rsid w:val="0006207E"/>
    <w:rsid w:val="00063430"/>
    <w:rsid w:val="00065EB7"/>
    <w:rsid w:val="00070C57"/>
    <w:rsid w:val="00071219"/>
    <w:rsid w:val="00071551"/>
    <w:rsid w:val="00072A87"/>
    <w:rsid w:val="00076D31"/>
    <w:rsid w:val="0007782B"/>
    <w:rsid w:val="00077C25"/>
    <w:rsid w:val="00077FB7"/>
    <w:rsid w:val="0008189F"/>
    <w:rsid w:val="00082685"/>
    <w:rsid w:val="000862CD"/>
    <w:rsid w:val="00087AD3"/>
    <w:rsid w:val="00087FFB"/>
    <w:rsid w:val="000900D4"/>
    <w:rsid w:val="0009131F"/>
    <w:rsid w:val="000942CB"/>
    <w:rsid w:val="000968D2"/>
    <w:rsid w:val="000A1274"/>
    <w:rsid w:val="000A3CD1"/>
    <w:rsid w:val="000A3E7B"/>
    <w:rsid w:val="000A4405"/>
    <w:rsid w:val="000A5C2C"/>
    <w:rsid w:val="000A5FB7"/>
    <w:rsid w:val="000A6DBE"/>
    <w:rsid w:val="000B1190"/>
    <w:rsid w:val="000B1A63"/>
    <w:rsid w:val="000B20D3"/>
    <w:rsid w:val="000B3851"/>
    <w:rsid w:val="000B51BE"/>
    <w:rsid w:val="000B6BB2"/>
    <w:rsid w:val="000C0E09"/>
    <w:rsid w:val="000C19D0"/>
    <w:rsid w:val="000C6B7B"/>
    <w:rsid w:val="000C733A"/>
    <w:rsid w:val="000C7CBB"/>
    <w:rsid w:val="000D0BA1"/>
    <w:rsid w:val="000D1A43"/>
    <w:rsid w:val="000D4385"/>
    <w:rsid w:val="000D533F"/>
    <w:rsid w:val="000E0CA3"/>
    <w:rsid w:val="000E2A39"/>
    <w:rsid w:val="000E32A2"/>
    <w:rsid w:val="000E563C"/>
    <w:rsid w:val="000E5AA0"/>
    <w:rsid w:val="000E5C18"/>
    <w:rsid w:val="000E6741"/>
    <w:rsid w:val="000E6D29"/>
    <w:rsid w:val="000E7110"/>
    <w:rsid w:val="000F135B"/>
    <w:rsid w:val="000F3572"/>
    <w:rsid w:val="000F4D79"/>
    <w:rsid w:val="000F4FA3"/>
    <w:rsid w:val="000F5EE7"/>
    <w:rsid w:val="00100407"/>
    <w:rsid w:val="001011F9"/>
    <w:rsid w:val="00102E3B"/>
    <w:rsid w:val="001030A0"/>
    <w:rsid w:val="00103C7C"/>
    <w:rsid w:val="00103E6B"/>
    <w:rsid w:val="00104344"/>
    <w:rsid w:val="0011086B"/>
    <w:rsid w:val="001111B2"/>
    <w:rsid w:val="00111787"/>
    <w:rsid w:val="00116CCE"/>
    <w:rsid w:val="00117BAF"/>
    <w:rsid w:val="00121544"/>
    <w:rsid w:val="0012273E"/>
    <w:rsid w:val="00122B6A"/>
    <w:rsid w:val="00122EDC"/>
    <w:rsid w:val="001235BD"/>
    <w:rsid w:val="00123D4A"/>
    <w:rsid w:val="0012640F"/>
    <w:rsid w:val="0012671A"/>
    <w:rsid w:val="001313EC"/>
    <w:rsid w:val="00133256"/>
    <w:rsid w:val="001336C1"/>
    <w:rsid w:val="001342D4"/>
    <w:rsid w:val="00135C1D"/>
    <w:rsid w:val="00136F21"/>
    <w:rsid w:val="001377C4"/>
    <w:rsid w:val="00137EAC"/>
    <w:rsid w:val="0014080B"/>
    <w:rsid w:val="00140F32"/>
    <w:rsid w:val="001440CF"/>
    <w:rsid w:val="00144535"/>
    <w:rsid w:val="0014582B"/>
    <w:rsid w:val="001473C8"/>
    <w:rsid w:val="00147E75"/>
    <w:rsid w:val="0015180B"/>
    <w:rsid w:val="00151AB9"/>
    <w:rsid w:val="00151D8D"/>
    <w:rsid w:val="00154105"/>
    <w:rsid w:val="00155826"/>
    <w:rsid w:val="00160CBC"/>
    <w:rsid w:val="00161097"/>
    <w:rsid w:val="001616BC"/>
    <w:rsid w:val="00162F38"/>
    <w:rsid w:val="001642EC"/>
    <w:rsid w:val="001661C7"/>
    <w:rsid w:val="00170116"/>
    <w:rsid w:val="001726D9"/>
    <w:rsid w:val="00173CC5"/>
    <w:rsid w:val="00174403"/>
    <w:rsid w:val="00175459"/>
    <w:rsid w:val="00175F70"/>
    <w:rsid w:val="00180F39"/>
    <w:rsid w:val="00183127"/>
    <w:rsid w:val="001831A3"/>
    <w:rsid w:val="00183992"/>
    <w:rsid w:val="001842F9"/>
    <w:rsid w:val="0018707D"/>
    <w:rsid w:val="001905D7"/>
    <w:rsid w:val="00192965"/>
    <w:rsid w:val="00194C30"/>
    <w:rsid w:val="001A36B8"/>
    <w:rsid w:val="001A56B8"/>
    <w:rsid w:val="001A5A89"/>
    <w:rsid w:val="001B202F"/>
    <w:rsid w:val="001B34B7"/>
    <w:rsid w:val="001B4F28"/>
    <w:rsid w:val="001B548B"/>
    <w:rsid w:val="001B5C59"/>
    <w:rsid w:val="001B7758"/>
    <w:rsid w:val="001B7F3D"/>
    <w:rsid w:val="001C27B1"/>
    <w:rsid w:val="001C520A"/>
    <w:rsid w:val="001C7232"/>
    <w:rsid w:val="001D0A35"/>
    <w:rsid w:val="001D1991"/>
    <w:rsid w:val="001D3482"/>
    <w:rsid w:val="001D3727"/>
    <w:rsid w:val="001D4126"/>
    <w:rsid w:val="001D4D7F"/>
    <w:rsid w:val="001D5FEE"/>
    <w:rsid w:val="001E031E"/>
    <w:rsid w:val="001E0E47"/>
    <w:rsid w:val="001E1E10"/>
    <w:rsid w:val="001E56D1"/>
    <w:rsid w:val="001E67C7"/>
    <w:rsid w:val="001E699E"/>
    <w:rsid w:val="001E6C26"/>
    <w:rsid w:val="001E7396"/>
    <w:rsid w:val="001F0E54"/>
    <w:rsid w:val="001F0F06"/>
    <w:rsid w:val="001F1417"/>
    <w:rsid w:val="001F1D99"/>
    <w:rsid w:val="001F574B"/>
    <w:rsid w:val="001F64C1"/>
    <w:rsid w:val="001F6D29"/>
    <w:rsid w:val="001F7CD4"/>
    <w:rsid w:val="00204B40"/>
    <w:rsid w:val="0020502F"/>
    <w:rsid w:val="0020551B"/>
    <w:rsid w:val="00205FFE"/>
    <w:rsid w:val="002068BF"/>
    <w:rsid w:val="002110D5"/>
    <w:rsid w:val="00211E51"/>
    <w:rsid w:val="00212E4B"/>
    <w:rsid w:val="00212EB9"/>
    <w:rsid w:val="002131A5"/>
    <w:rsid w:val="00215D5B"/>
    <w:rsid w:val="00217F9A"/>
    <w:rsid w:val="00221C94"/>
    <w:rsid w:val="00226736"/>
    <w:rsid w:val="00226C29"/>
    <w:rsid w:val="00227EEF"/>
    <w:rsid w:val="0023053B"/>
    <w:rsid w:val="0023280F"/>
    <w:rsid w:val="00235159"/>
    <w:rsid w:val="00241497"/>
    <w:rsid w:val="0024182A"/>
    <w:rsid w:val="00242AD5"/>
    <w:rsid w:val="00243450"/>
    <w:rsid w:val="0024798A"/>
    <w:rsid w:val="00250673"/>
    <w:rsid w:val="00250E4D"/>
    <w:rsid w:val="0025350C"/>
    <w:rsid w:val="00255595"/>
    <w:rsid w:val="0025598F"/>
    <w:rsid w:val="002562B3"/>
    <w:rsid w:val="00257616"/>
    <w:rsid w:val="00261F25"/>
    <w:rsid w:val="002644AB"/>
    <w:rsid w:val="00264DDA"/>
    <w:rsid w:val="00264E2B"/>
    <w:rsid w:val="002723BE"/>
    <w:rsid w:val="00275161"/>
    <w:rsid w:val="00275434"/>
    <w:rsid w:val="002769B0"/>
    <w:rsid w:val="0027776A"/>
    <w:rsid w:val="00280013"/>
    <w:rsid w:val="002804F1"/>
    <w:rsid w:val="002816F7"/>
    <w:rsid w:val="00282360"/>
    <w:rsid w:val="0028298D"/>
    <w:rsid w:val="00282AD1"/>
    <w:rsid w:val="00284983"/>
    <w:rsid w:val="00284D0E"/>
    <w:rsid w:val="00286FA5"/>
    <w:rsid w:val="00291387"/>
    <w:rsid w:val="00292C76"/>
    <w:rsid w:val="002931DC"/>
    <w:rsid w:val="00293CA8"/>
    <w:rsid w:val="00297745"/>
    <w:rsid w:val="002A25EC"/>
    <w:rsid w:val="002A4664"/>
    <w:rsid w:val="002A5B57"/>
    <w:rsid w:val="002A5B5D"/>
    <w:rsid w:val="002A5D29"/>
    <w:rsid w:val="002A6033"/>
    <w:rsid w:val="002B1C19"/>
    <w:rsid w:val="002B1DA3"/>
    <w:rsid w:val="002B2E2E"/>
    <w:rsid w:val="002B36F8"/>
    <w:rsid w:val="002B46BD"/>
    <w:rsid w:val="002B47FA"/>
    <w:rsid w:val="002B4E03"/>
    <w:rsid w:val="002C0348"/>
    <w:rsid w:val="002C06B8"/>
    <w:rsid w:val="002C10EF"/>
    <w:rsid w:val="002C2697"/>
    <w:rsid w:val="002C45C8"/>
    <w:rsid w:val="002C4A59"/>
    <w:rsid w:val="002C70AE"/>
    <w:rsid w:val="002C7944"/>
    <w:rsid w:val="002D095A"/>
    <w:rsid w:val="002D0EFF"/>
    <w:rsid w:val="002D1074"/>
    <w:rsid w:val="002D2275"/>
    <w:rsid w:val="002D24B0"/>
    <w:rsid w:val="002D31E9"/>
    <w:rsid w:val="002D4A80"/>
    <w:rsid w:val="002D5134"/>
    <w:rsid w:val="002D54DF"/>
    <w:rsid w:val="002D5DC3"/>
    <w:rsid w:val="002D6B0E"/>
    <w:rsid w:val="002E02F0"/>
    <w:rsid w:val="002E4F6B"/>
    <w:rsid w:val="002E5175"/>
    <w:rsid w:val="002E538D"/>
    <w:rsid w:val="002E678E"/>
    <w:rsid w:val="002E7471"/>
    <w:rsid w:val="002F0551"/>
    <w:rsid w:val="002F0934"/>
    <w:rsid w:val="002F0B2C"/>
    <w:rsid w:val="002F22E5"/>
    <w:rsid w:val="002F3858"/>
    <w:rsid w:val="002F4ABC"/>
    <w:rsid w:val="002F66FB"/>
    <w:rsid w:val="002F671C"/>
    <w:rsid w:val="00300232"/>
    <w:rsid w:val="00300264"/>
    <w:rsid w:val="003002FE"/>
    <w:rsid w:val="0030140B"/>
    <w:rsid w:val="003029C3"/>
    <w:rsid w:val="0030324F"/>
    <w:rsid w:val="0030421C"/>
    <w:rsid w:val="003042CD"/>
    <w:rsid w:val="00304D4E"/>
    <w:rsid w:val="003055C2"/>
    <w:rsid w:val="00306057"/>
    <w:rsid w:val="00310027"/>
    <w:rsid w:val="00310878"/>
    <w:rsid w:val="00310E89"/>
    <w:rsid w:val="0031167B"/>
    <w:rsid w:val="003125E8"/>
    <w:rsid w:val="00313222"/>
    <w:rsid w:val="00313276"/>
    <w:rsid w:val="0031396A"/>
    <w:rsid w:val="003149CF"/>
    <w:rsid w:val="00315826"/>
    <w:rsid w:val="00316724"/>
    <w:rsid w:val="003176CF"/>
    <w:rsid w:val="003178F4"/>
    <w:rsid w:val="0032029E"/>
    <w:rsid w:val="003202CA"/>
    <w:rsid w:val="00320CE1"/>
    <w:rsid w:val="003245F9"/>
    <w:rsid w:val="003249E7"/>
    <w:rsid w:val="0032707F"/>
    <w:rsid w:val="00330D3C"/>
    <w:rsid w:val="003313E2"/>
    <w:rsid w:val="00332561"/>
    <w:rsid w:val="00332646"/>
    <w:rsid w:val="00334227"/>
    <w:rsid w:val="00334E6C"/>
    <w:rsid w:val="00335805"/>
    <w:rsid w:val="0033646D"/>
    <w:rsid w:val="00337F72"/>
    <w:rsid w:val="00342CF5"/>
    <w:rsid w:val="0034329E"/>
    <w:rsid w:val="0034510D"/>
    <w:rsid w:val="0035090E"/>
    <w:rsid w:val="003528EF"/>
    <w:rsid w:val="00353359"/>
    <w:rsid w:val="00354606"/>
    <w:rsid w:val="00355B2B"/>
    <w:rsid w:val="00360A96"/>
    <w:rsid w:val="00362788"/>
    <w:rsid w:val="003637EA"/>
    <w:rsid w:val="00364DDB"/>
    <w:rsid w:val="003657F3"/>
    <w:rsid w:val="0036704A"/>
    <w:rsid w:val="003705ED"/>
    <w:rsid w:val="00370667"/>
    <w:rsid w:val="00370B17"/>
    <w:rsid w:val="0037244E"/>
    <w:rsid w:val="003729B7"/>
    <w:rsid w:val="00372CC1"/>
    <w:rsid w:val="00373D1B"/>
    <w:rsid w:val="00374DBA"/>
    <w:rsid w:val="003761D7"/>
    <w:rsid w:val="00376B3A"/>
    <w:rsid w:val="003778F2"/>
    <w:rsid w:val="00377C55"/>
    <w:rsid w:val="00377E2E"/>
    <w:rsid w:val="00382069"/>
    <w:rsid w:val="00383445"/>
    <w:rsid w:val="003838D3"/>
    <w:rsid w:val="00384088"/>
    <w:rsid w:val="003840E9"/>
    <w:rsid w:val="00385290"/>
    <w:rsid w:val="0038601B"/>
    <w:rsid w:val="0038670B"/>
    <w:rsid w:val="00386CC2"/>
    <w:rsid w:val="00386E8F"/>
    <w:rsid w:val="003921DD"/>
    <w:rsid w:val="003954D1"/>
    <w:rsid w:val="00397056"/>
    <w:rsid w:val="0039742E"/>
    <w:rsid w:val="003A1C1D"/>
    <w:rsid w:val="003A243D"/>
    <w:rsid w:val="003A2C90"/>
    <w:rsid w:val="003A31AB"/>
    <w:rsid w:val="003A3F57"/>
    <w:rsid w:val="003A658C"/>
    <w:rsid w:val="003B121E"/>
    <w:rsid w:val="003B1AFA"/>
    <w:rsid w:val="003B1D27"/>
    <w:rsid w:val="003B4168"/>
    <w:rsid w:val="003B46AE"/>
    <w:rsid w:val="003B5241"/>
    <w:rsid w:val="003C08FF"/>
    <w:rsid w:val="003C1765"/>
    <w:rsid w:val="003C18F3"/>
    <w:rsid w:val="003C1C20"/>
    <w:rsid w:val="003C2541"/>
    <w:rsid w:val="003C3E3C"/>
    <w:rsid w:val="003C4442"/>
    <w:rsid w:val="003C4FE8"/>
    <w:rsid w:val="003C59E3"/>
    <w:rsid w:val="003C7BB1"/>
    <w:rsid w:val="003D04CB"/>
    <w:rsid w:val="003D090C"/>
    <w:rsid w:val="003D15AE"/>
    <w:rsid w:val="003D19EB"/>
    <w:rsid w:val="003D3BB1"/>
    <w:rsid w:val="003D45BA"/>
    <w:rsid w:val="003D5439"/>
    <w:rsid w:val="003D5F08"/>
    <w:rsid w:val="003D5FF0"/>
    <w:rsid w:val="003D7A55"/>
    <w:rsid w:val="003E0B18"/>
    <w:rsid w:val="003E2743"/>
    <w:rsid w:val="003E505C"/>
    <w:rsid w:val="003E5A8C"/>
    <w:rsid w:val="003E5ADF"/>
    <w:rsid w:val="003E6CFB"/>
    <w:rsid w:val="003E72A1"/>
    <w:rsid w:val="003F03D1"/>
    <w:rsid w:val="003F2A47"/>
    <w:rsid w:val="003F417A"/>
    <w:rsid w:val="003F478C"/>
    <w:rsid w:val="003F47EA"/>
    <w:rsid w:val="003F5F72"/>
    <w:rsid w:val="003F73E3"/>
    <w:rsid w:val="00401365"/>
    <w:rsid w:val="00401AEB"/>
    <w:rsid w:val="00402049"/>
    <w:rsid w:val="00402C07"/>
    <w:rsid w:val="00403724"/>
    <w:rsid w:val="00403DAD"/>
    <w:rsid w:val="004044A3"/>
    <w:rsid w:val="004073E3"/>
    <w:rsid w:val="0041346E"/>
    <w:rsid w:val="00413985"/>
    <w:rsid w:val="0041399B"/>
    <w:rsid w:val="00416108"/>
    <w:rsid w:val="0041615F"/>
    <w:rsid w:val="00417DE2"/>
    <w:rsid w:val="0042043B"/>
    <w:rsid w:val="00421327"/>
    <w:rsid w:val="00421483"/>
    <w:rsid w:val="004217F7"/>
    <w:rsid w:val="0042187D"/>
    <w:rsid w:val="004229D6"/>
    <w:rsid w:val="00423135"/>
    <w:rsid w:val="00423A23"/>
    <w:rsid w:val="00424F8C"/>
    <w:rsid w:val="004258A7"/>
    <w:rsid w:val="00426590"/>
    <w:rsid w:val="004273A9"/>
    <w:rsid w:val="004321CB"/>
    <w:rsid w:val="00435D3F"/>
    <w:rsid w:val="00441C32"/>
    <w:rsid w:val="00443630"/>
    <w:rsid w:val="00444DFD"/>
    <w:rsid w:val="00445937"/>
    <w:rsid w:val="00446E31"/>
    <w:rsid w:val="004470C9"/>
    <w:rsid w:val="00447DD4"/>
    <w:rsid w:val="00450E6E"/>
    <w:rsid w:val="00451CF4"/>
    <w:rsid w:val="00452787"/>
    <w:rsid w:val="00452AC1"/>
    <w:rsid w:val="00454883"/>
    <w:rsid w:val="00455B52"/>
    <w:rsid w:val="00457494"/>
    <w:rsid w:val="004605EE"/>
    <w:rsid w:val="0046063F"/>
    <w:rsid w:val="004618EF"/>
    <w:rsid w:val="00461E28"/>
    <w:rsid w:val="00461FB3"/>
    <w:rsid w:val="0046315F"/>
    <w:rsid w:val="004634FC"/>
    <w:rsid w:val="00463BBC"/>
    <w:rsid w:val="004660D4"/>
    <w:rsid w:val="00471E03"/>
    <w:rsid w:val="004725AF"/>
    <w:rsid w:val="00473355"/>
    <w:rsid w:val="00474C48"/>
    <w:rsid w:val="004758E7"/>
    <w:rsid w:val="0047659D"/>
    <w:rsid w:val="0048004B"/>
    <w:rsid w:val="00485620"/>
    <w:rsid w:val="004863DE"/>
    <w:rsid w:val="004867DC"/>
    <w:rsid w:val="004873C9"/>
    <w:rsid w:val="00491762"/>
    <w:rsid w:val="00491BC1"/>
    <w:rsid w:val="004920FE"/>
    <w:rsid w:val="0049308F"/>
    <w:rsid w:val="00494136"/>
    <w:rsid w:val="00497C96"/>
    <w:rsid w:val="004A009C"/>
    <w:rsid w:val="004A0633"/>
    <w:rsid w:val="004A0E6E"/>
    <w:rsid w:val="004A31A3"/>
    <w:rsid w:val="004A320C"/>
    <w:rsid w:val="004A396D"/>
    <w:rsid w:val="004A5B8C"/>
    <w:rsid w:val="004A605F"/>
    <w:rsid w:val="004A6361"/>
    <w:rsid w:val="004A655F"/>
    <w:rsid w:val="004B0585"/>
    <w:rsid w:val="004B0E36"/>
    <w:rsid w:val="004B1201"/>
    <w:rsid w:val="004B3BDA"/>
    <w:rsid w:val="004B4D64"/>
    <w:rsid w:val="004B5214"/>
    <w:rsid w:val="004B5904"/>
    <w:rsid w:val="004B5FCF"/>
    <w:rsid w:val="004B607C"/>
    <w:rsid w:val="004C0715"/>
    <w:rsid w:val="004C08A4"/>
    <w:rsid w:val="004C15AE"/>
    <w:rsid w:val="004C1DEB"/>
    <w:rsid w:val="004C2A58"/>
    <w:rsid w:val="004C2CFB"/>
    <w:rsid w:val="004C31AC"/>
    <w:rsid w:val="004C394C"/>
    <w:rsid w:val="004C7B8D"/>
    <w:rsid w:val="004D0B1B"/>
    <w:rsid w:val="004D244E"/>
    <w:rsid w:val="004D260C"/>
    <w:rsid w:val="004D44C4"/>
    <w:rsid w:val="004D46CA"/>
    <w:rsid w:val="004D63A9"/>
    <w:rsid w:val="004E14F7"/>
    <w:rsid w:val="004E27E0"/>
    <w:rsid w:val="004E2F16"/>
    <w:rsid w:val="004E3623"/>
    <w:rsid w:val="004E50A0"/>
    <w:rsid w:val="004E582E"/>
    <w:rsid w:val="004E79C8"/>
    <w:rsid w:val="004F0676"/>
    <w:rsid w:val="004F09BC"/>
    <w:rsid w:val="004F1498"/>
    <w:rsid w:val="004F1FC9"/>
    <w:rsid w:val="004F2E36"/>
    <w:rsid w:val="004F4F28"/>
    <w:rsid w:val="004F5177"/>
    <w:rsid w:val="004F5FD3"/>
    <w:rsid w:val="004F72A6"/>
    <w:rsid w:val="004F79A4"/>
    <w:rsid w:val="00500156"/>
    <w:rsid w:val="00501C29"/>
    <w:rsid w:val="00502C5A"/>
    <w:rsid w:val="00502F26"/>
    <w:rsid w:val="00503463"/>
    <w:rsid w:val="00503D3E"/>
    <w:rsid w:val="0050537D"/>
    <w:rsid w:val="00506056"/>
    <w:rsid w:val="00506CDB"/>
    <w:rsid w:val="005111C9"/>
    <w:rsid w:val="00511A30"/>
    <w:rsid w:val="00512EFC"/>
    <w:rsid w:val="00513410"/>
    <w:rsid w:val="00516067"/>
    <w:rsid w:val="005175B2"/>
    <w:rsid w:val="00522200"/>
    <w:rsid w:val="00523A33"/>
    <w:rsid w:val="00530AA6"/>
    <w:rsid w:val="00531C34"/>
    <w:rsid w:val="005321CD"/>
    <w:rsid w:val="00532E6E"/>
    <w:rsid w:val="00534F8B"/>
    <w:rsid w:val="005367B4"/>
    <w:rsid w:val="00536F04"/>
    <w:rsid w:val="00537C36"/>
    <w:rsid w:val="00541F9B"/>
    <w:rsid w:val="00542F0C"/>
    <w:rsid w:val="005452AA"/>
    <w:rsid w:val="00545820"/>
    <w:rsid w:val="00546C82"/>
    <w:rsid w:val="00546EBC"/>
    <w:rsid w:val="00547737"/>
    <w:rsid w:val="005509CD"/>
    <w:rsid w:val="0055130A"/>
    <w:rsid w:val="00551D96"/>
    <w:rsid w:val="00551DE1"/>
    <w:rsid w:val="0055301F"/>
    <w:rsid w:val="00553E01"/>
    <w:rsid w:val="00554449"/>
    <w:rsid w:val="00554816"/>
    <w:rsid w:val="0055481F"/>
    <w:rsid w:val="00555577"/>
    <w:rsid w:val="0056497B"/>
    <w:rsid w:val="0056499C"/>
    <w:rsid w:val="00566077"/>
    <w:rsid w:val="005668DA"/>
    <w:rsid w:val="0056695E"/>
    <w:rsid w:val="00567C2B"/>
    <w:rsid w:val="00570A69"/>
    <w:rsid w:val="00572238"/>
    <w:rsid w:val="00572DE1"/>
    <w:rsid w:val="005747C3"/>
    <w:rsid w:val="00574959"/>
    <w:rsid w:val="0057657D"/>
    <w:rsid w:val="005777F5"/>
    <w:rsid w:val="00577CE4"/>
    <w:rsid w:val="005804A6"/>
    <w:rsid w:val="00580620"/>
    <w:rsid w:val="00581B23"/>
    <w:rsid w:val="00583574"/>
    <w:rsid w:val="005835CB"/>
    <w:rsid w:val="00584336"/>
    <w:rsid w:val="00584650"/>
    <w:rsid w:val="00585310"/>
    <w:rsid w:val="00586CEC"/>
    <w:rsid w:val="005870FB"/>
    <w:rsid w:val="00592FE6"/>
    <w:rsid w:val="005941E8"/>
    <w:rsid w:val="00594CC9"/>
    <w:rsid w:val="005958A5"/>
    <w:rsid w:val="0059663C"/>
    <w:rsid w:val="00597618"/>
    <w:rsid w:val="005A0755"/>
    <w:rsid w:val="005A0AAF"/>
    <w:rsid w:val="005A10C7"/>
    <w:rsid w:val="005A14AD"/>
    <w:rsid w:val="005A1FEA"/>
    <w:rsid w:val="005A2C7C"/>
    <w:rsid w:val="005A2D69"/>
    <w:rsid w:val="005A324E"/>
    <w:rsid w:val="005A4C70"/>
    <w:rsid w:val="005A5EB0"/>
    <w:rsid w:val="005A7E41"/>
    <w:rsid w:val="005B0C85"/>
    <w:rsid w:val="005B14D8"/>
    <w:rsid w:val="005B2442"/>
    <w:rsid w:val="005B3A7B"/>
    <w:rsid w:val="005B48BC"/>
    <w:rsid w:val="005B55AB"/>
    <w:rsid w:val="005B7276"/>
    <w:rsid w:val="005C0090"/>
    <w:rsid w:val="005C21BA"/>
    <w:rsid w:val="005C2D56"/>
    <w:rsid w:val="005C3D1D"/>
    <w:rsid w:val="005C54E3"/>
    <w:rsid w:val="005C793B"/>
    <w:rsid w:val="005D2AD3"/>
    <w:rsid w:val="005D3D46"/>
    <w:rsid w:val="005D617C"/>
    <w:rsid w:val="005D6582"/>
    <w:rsid w:val="005D7EFD"/>
    <w:rsid w:val="005D7F1E"/>
    <w:rsid w:val="005E08B6"/>
    <w:rsid w:val="005E0B50"/>
    <w:rsid w:val="005E21C0"/>
    <w:rsid w:val="005E2FF7"/>
    <w:rsid w:val="005E3793"/>
    <w:rsid w:val="005E4082"/>
    <w:rsid w:val="005E432F"/>
    <w:rsid w:val="005E76F9"/>
    <w:rsid w:val="005F0370"/>
    <w:rsid w:val="005F0DD7"/>
    <w:rsid w:val="005F131C"/>
    <w:rsid w:val="005F14E4"/>
    <w:rsid w:val="005F31E0"/>
    <w:rsid w:val="005F3CB4"/>
    <w:rsid w:val="005F61B4"/>
    <w:rsid w:val="005F6AA1"/>
    <w:rsid w:val="005F6CB3"/>
    <w:rsid w:val="006007FC"/>
    <w:rsid w:val="00601165"/>
    <w:rsid w:val="006027A1"/>
    <w:rsid w:val="006039AB"/>
    <w:rsid w:val="00605B36"/>
    <w:rsid w:val="006106BB"/>
    <w:rsid w:val="0061114D"/>
    <w:rsid w:val="00611E49"/>
    <w:rsid w:val="00613C87"/>
    <w:rsid w:val="00613F35"/>
    <w:rsid w:val="0061589C"/>
    <w:rsid w:val="006164DD"/>
    <w:rsid w:val="00616B89"/>
    <w:rsid w:val="00617D95"/>
    <w:rsid w:val="00617F3A"/>
    <w:rsid w:val="00620462"/>
    <w:rsid w:val="00620811"/>
    <w:rsid w:val="00620D69"/>
    <w:rsid w:val="00621794"/>
    <w:rsid w:val="00622158"/>
    <w:rsid w:val="00623515"/>
    <w:rsid w:val="00623585"/>
    <w:rsid w:val="0062402B"/>
    <w:rsid w:val="00627D43"/>
    <w:rsid w:val="00627F28"/>
    <w:rsid w:val="006335F1"/>
    <w:rsid w:val="006342F2"/>
    <w:rsid w:val="00635640"/>
    <w:rsid w:val="00635AAF"/>
    <w:rsid w:val="006412C1"/>
    <w:rsid w:val="00642D68"/>
    <w:rsid w:val="00645AD6"/>
    <w:rsid w:val="00645C7F"/>
    <w:rsid w:val="0064695D"/>
    <w:rsid w:val="00647521"/>
    <w:rsid w:val="006479E2"/>
    <w:rsid w:val="006502D3"/>
    <w:rsid w:val="006517E9"/>
    <w:rsid w:val="006523E4"/>
    <w:rsid w:val="00652525"/>
    <w:rsid w:val="006531F0"/>
    <w:rsid w:val="0065345B"/>
    <w:rsid w:val="0065427F"/>
    <w:rsid w:val="006560BD"/>
    <w:rsid w:val="00657F6E"/>
    <w:rsid w:val="006607A2"/>
    <w:rsid w:val="00660EA0"/>
    <w:rsid w:val="00661581"/>
    <w:rsid w:val="00661CA4"/>
    <w:rsid w:val="006638F5"/>
    <w:rsid w:val="00664857"/>
    <w:rsid w:val="006648AB"/>
    <w:rsid w:val="006648F3"/>
    <w:rsid w:val="00665440"/>
    <w:rsid w:val="00670DEC"/>
    <w:rsid w:val="006713B5"/>
    <w:rsid w:val="00671B12"/>
    <w:rsid w:val="00675777"/>
    <w:rsid w:val="0067628D"/>
    <w:rsid w:val="00676A28"/>
    <w:rsid w:val="00680D0C"/>
    <w:rsid w:val="00680E86"/>
    <w:rsid w:val="00681996"/>
    <w:rsid w:val="00681E31"/>
    <w:rsid w:val="006827E3"/>
    <w:rsid w:val="00682B95"/>
    <w:rsid w:val="00683267"/>
    <w:rsid w:val="006832AD"/>
    <w:rsid w:val="00684FFD"/>
    <w:rsid w:val="00686F91"/>
    <w:rsid w:val="00690588"/>
    <w:rsid w:val="00691E45"/>
    <w:rsid w:val="00691F9F"/>
    <w:rsid w:val="006934A5"/>
    <w:rsid w:val="00693C21"/>
    <w:rsid w:val="00693D4D"/>
    <w:rsid w:val="00694CFD"/>
    <w:rsid w:val="00695397"/>
    <w:rsid w:val="006A1F2E"/>
    <w:rsid w:val="006A384C"/>
    <w:rsid w:val="006A6691"/>
    <w:rsid w:val="006B2A1B"/>
    <w:rsid w:val="006B3AD1"/>
    <w:rsid w:val="006B3BDD"/>
    <w:rsid w:val="006B65A2"/>
    <w:rsid w:val="006C3A3C"/>
    <w:rsid w:val="006D08EA"/>
    <w:rsid w:val="006D0BF5"/>
    <w:rsid w:val="006D1B3C"/>
    <w:rsid w:val="006D2794"/>
    <w:rsid w:val="006D3E61"/>
    <w:rsid w:val="006D5487"/>
    <w:rsid w:val="006D5626"/>
    <w:rsid w:val="006D5D25"/>
    <w:rsid w:val="006D6188"/>
    <w:rsid w:val="006D6A00"/>
    <w:rsid w:val="006E1873"/>
    <w:rsid w:val="006E25B7"/>
    <w:rsid w:val="006E4CBC"/>
    <w:rsid w:val="006F2766"/>
    <w:rsid w:val="006F3F25"/>
    <w:rsid w:val="006F541E"/>
    <w:rsid w:val="006F5F56"/>
    <w:rsid w:val="006F6FC5"/>
    <w:rsid w:val="00700C0C"/>
    <w:rsid w:val="00701257"/>
    <w:rsid w:val="00702C6E"/>
    <w:rsid w:val="00702CBA"/>
    <w:rsid w:val="00704290"/>
    <w:rsid w:val="007077A8"/>
    <w:rsid w:val="00710D85"/>
    <w:rsid w:val="00711C3E"/>
    <w:rsid w:val="0071203B"/>
    <w:rsid w:val="0071460A"/>
    <w:rsid w:val="00714A2C"/>
    <w:rsid w:val="00715AE2"/>
    <w:rsid w:val="007164C1"/>
    <w:rsid w:val="0071793B"/>
    <w:rsid w:val="00717B2C"/>
    <w:rsid w:val="00721FEA"/>
    <w:rsid w:val="00724408"/>
    <w:rsid w:val="00724C7A"/>
    <w:rsid w:val="007317E8"/>
    <w:rsid w:val="00733224"/>
    <w:rsid w:val="007346F3"/>
    <w:rsid w:val="007355E1"/>
    <w:rsid w:val="007414DD"/>
    <w:rsid w:val="007428EF"/>
    <w:rsid w:val="00742C3E"/>
    <w:rsid w:val="007453C0"/>
    <w:rsid w:val="00745ECF"/>
    <w:rsid w:val="00746702"/>
    <w:rsid w:val="00750FA3"/>
    <w:rsid w:val="007514D0"/>
    <w:rsid w:val="00753B9A"/>
    <w:rsid w:val="00754260"/>
    <w:rsid w:val="00756146"/>
    <w:rsid w:val="0076059F"/>
    <w:rsid w:val="0076334D"/>
    <w:rsid w:val="00764D74"/>
    <w:rsid w:val="0076771B"/>
    <w:rsid w:val="007701DD"/>
    <w:rsid w:val="00771D53"/>
    <w:rsid w:val="00773B51"/>
    <w:rsid w:val="007763F5"/>
    <w:rsid w:val="007771BB"/>
    <w:rsid w:val="00777320"/>
    <w:rsid w:val="00781C71"/>
    <w:rsid w:val="00782573"/>
    <w:rsid w:val="00784974"/>
    <w:rsid w:val="00784D9E"/>
    <w:rsid w:val="00784F1A"/>
    <w:rsid w:val="00785D43"/>
    <w:rsid w:val="0078718D"/>
    <w:rsid w:val="0079194D"/>
    <w:rsid w:val="00792674"/>
    <w:rsid w:val="00794B7C"/>
    <w:rsid w:val="00795150"/>
    <w:rsid w:val="00795D6A"/>
    <w:rsid w:val="00796A7C"/>
    <w:rsid w:val="00796F54"/>
    <w:rsid w:val="007A0770"/>
    <w:rsid w:val="007A263D"/>
    <w:rsid w:val="007A2824"/>
    <w:rsid w:val="007A2D4A"/>
    <w:rsid w:val="007A2F85"/>
    <w:rsid w:val="007B0B62"/>
    <w:rsid w:val="007B351A"/>
    <w:rsid w:val="007B7436"/>
    <w:rsid w:val="007C1264"/>
    <w:rsid w:val="007C1751"/>
    <w:rsid w:val="007C30C2"/>
    <w:rsid w:val="007C35A3"/>
    <w:rsid w:val="007C40FC"/>
    <w:rsid w:val="007C42E7"/>
    <w:rsid w:val="007C5F17"/>
    <w:rsid w:val="007C6D7B"/>
    <w:rsid w:val="007C6EDD"/>
    <w:rsid w:val="007C7D5C"/>
    <w:rsid w:val="007D1483"/>
    <w:rsid w:val="007D18EF"/>
    <w:rsid w:val="007D26A0"/>
    <w:rsid w:val="007D327C"/>
    <w:rsid w:val="007D4B20"/>
    <w:rsid w:val="007D4F0E"/>
    <w:rsid w:val="007D664C"/>
    <w:rsid w:val="007D66B5"/>
    <w:rsid w:val="007D68E8"/>
    <w:rsid w:val="007D6B52"/>
    <w:rsid w:val="007D7C8F"/>
    <w:rsid w:val="007E07E1"/>
    <w:rsid w:val="007E07FD"/>
    <w:rsid w:val="007E370A"/>
    <w:rsid w:val="007E3EEA"/>
    <w:rsid w:val="007E415F"/>
    <w:rsid w:val="007F29D3"/>
    <w:rsid w:val="007F3DE6"/>
    <w:rsid w:val="007F7469"/>
    <w:rsid w:val="00801CFE"/>
    <w:rsid w:val="00803A92"/>
    <w:rsid w:val="00804B08"/>
    <w:rsid w:val="008053BD"/>
    <w:rsid w:val="008058EF"/>
    <w:rsid w:val="00807CB9"/>
    <w:rsid w:val="00807EB5"/>
    <w:rsid w:val="00811730"/>
    <w:rsid w:val="008122EB"/>
    <w:rsid w:val="008128C0"/>
    <w:rsid w:val="008148A6"/>
    <w:rsid w:val="0081679C"/>
    <w:rsid w:val="00817237"/>
    <w:rsid w:val="00820ADF"/>
    <w:rsid w:val="00821464"/>
    <w:rsid w:val="00823700"/>
    <w:rsid w:val="008239D4"/>
    <w:rsid w:val="0082499D"/>
    <w:rsid w:val="00825C2F"/>
    <w:rsid w:val="008270E2"/>
    <w:rsid w:val="00827811"/>
    <w:rsid w:val="008303EF"/>
    <w:rsid w:val="0083108F"/>
    <w:rsid w:val="00831AB1"/>
    <w:rsid w:val="00832E3A"/>
    <w:rsid w:val="0083373F"/>
    <w:rsid w:val="00833B5A"/>
    <w:rsid w:val="00836541"/>
    <w:rsid w:val="00837B54"/>
    <w:rsid w:val="00840635"/>
    <w:rsid w:val="008413D9"/>
    <w:rsid w:val="0084192B"/>
    <w:rsid w:val="00842775"/>
    <w:rsid w:val="00843C9C"/>
    <w:rsid w:val="0084546B"/>
    <w:rsid w:val="00851CC9"/>
    <w:rsid w:val="00852C51"/>
    <w:rsid w:val="008534EA"/>
    <w:rsid w:val="00854A21"/>
    <w:rsid w:val="00854AE2"/>
    <w:rsid w:val="00855817"/>
    <w:rsid w:val="00855EED"/>
    <w:rsid w:val="00856190"/>
    <w:rsid w:val="0085654A"/>
    <w:rsid w:val="0086094F"/>
    <w:rsid w:val="0086174B"/>
    <w:rsid w:val="00862541"/>
    <w:rsid w:val="00862872"/>
    <w:rsid w:val="00863809"/>
    <w:rsid w:val="00864C54"/>
    <w:rsid w:val="00865580"/>
    <w:rsid w:val="00865D32"/>
    <w:rsid w:val="00865DFC"/>
    <w:rsid w:val="00866CF0"/>
    <w:rsid w:val="008675D9"/>
    <w:rsid w:val="008713D2"/>
    <w:rsid w:val="008717DA"/>
    <w:rsid w:val="008723E2"/>
    <w:rsid w:val="00873046"/>
    <w:rsid w:val="008732DC"/>
    <w:rsid w:val="00874765"/>
    <w:rsid w:val="0087755D"/>
    <w:rsid w:val="00877F8E"/>
    <w:rsid w:val="008817DD"/>
    <w:rsid w:val="008821E8"/>
    <w:rsid w:val="00883D0C"/>
    <w:rsid w:val="0088536D"/>
    <w:rsid w:val="00885991"/>
    <w:rsid w:val="00885A9B"/>
    <w:rsid w:val="00885CD2"/>
    <w:rsid w:val="0088604E"/>
    <w:rsid w:val="008877F3"/>
    <w:rsid w:val="00887CDE"/>
    <w:rsid w:val="008900CA"/>
    <w:rsid w:val="00892388"/>
    <w:rsid w:val="00892BA7"/>
    <w:rsid w:val="008947C0"/>
    <w:rsid w:val="00894DF8"/>
    <w:rsid w:val="00895948"/>
    <w:rsid w:val="008963C6"/>
    <w:rsid w:val="008966DE"/>
    <w:rsid w:val="008969D4"/>
    <w:rsid w:val="00896E33"/>
    <w:rsid w:val="008A009C"/>
    <w:rsid w:val="008A16DB"/>
    <w:rsid w:val="008A21B6"/>
    <w:rsid w:val="008A338A"/>
    <w:rsid w:val="008A6161"/>
    <w:rsid w:val="008A6AEF"/>
    <w:rsid w:val="008A7681"/>
    <w:rsid w:val="008B0680"/>
    <w:rsid w:val="008B0771"/>
    <w:rsid w:val="008B14F6"/>
    <w:rsid w:val="008B4862"/>
    <w:rsid w:val="008B4CB7"/>
    <w:rsid w:val="008B685E"/>
    <w:rsid w:val="008C1D2E"/>
    <w:rsid w:val="008C2360"/>
    <w:rsid w:val="008C3A4A"/>
    <w:rsid w:val="008C436A"/>
    <w:rsid w:val="008C61EF"/>
    <w:rsid w:val="008C6A27"/>
    <w:rsid w:val="008D034D"/>
    <w:rsid w:val="008D0B25"/>
    <w:rsid w:val="008D0F11"/>
    <w:rsid w:val="008D2E3A"/>
    <w:rsid w:val="008D574C"/>
    <w:rsid w:val="008D7C56"/>
    <w:rsid w:val="008E023C"/>
    <w:rsid w:val="008E293B"/>
    <w:rsid w:val="008E2E7F"/>
    <w:rsid w:val="008E312B"/>
    <w:rsid w:val="008E7049"/>
    <w:rsid w:val="008F0486"/>
    <w:rsid w:val="008F15FA"/>
    <w:rsid w:val="008F1DA6"/>
    <w:rsid w:val="008F24DD"/>
    <w:rsid w:val="008F26CF"/>
    <w:rsid w:val="008F7066"/>
    <w:rsid w:val="008F77A7"/>
    <w:rsid w:val="008F7B3A"/>
    <w:rsid w:val="00901089"/>
    <w:rsid w:val="00901763"/>
    <w:rsid w:val="00905DF3"/>
    <w:rsid w:val="00910C44"/>
    <w:rsid w:val="00912799"/>
    <w:rsid w:val="00916F94"/>
    <w:rsid w:val="00920168"/>
    <w:rsid w:val="00920C9C"/>
    <w:rsid w:val="00923330"/>
    <w:rsid w:val="00923B23"/>
    <w:rsid w:val="00923F7E"/>
    <w:rsid w:val="0092553A"/>
    <w:rsid w:val="00925678"/>
    <w:rsid w:val="00926997"/>
    <w:rsid w:val="009278EE"/>
    <w:rsid w:val="0093300D"/>
    <w:rsid w:val="00933B88"/>
    <w:rsid w:val="00933CFC"/>
    <w:rsid w:val="009352A8"/>
    <w:rsid w:val="00935FAB"/>
    <w:rsid w:val="0094079D"/>
    <w:rsid w:val="00940896"/>
    <w:rsid w:val="0094199E"/>
    <w:rsid w:val="0094492C"/>
    <w:rsid w:val="00944E3A"/>
    <w:rsid w:val="00947A6B"/>
    <w:rsid w:val="00951EBD"/>
    <w:rsid w:val="009538A8"/>
    <w:rsid w:val="00953A8B"/>
    <w:rsid w:val="00956C60"/>
    <w:rsid w:val="00961535"/>
    <w:rsid w:val="00964A23"/>
    <w:rsid w:val="00964EB1"/>
    <w:rsid w:val="00966937"/>
    <w:rsid w:val="00966E1F"/>
    <w:rsid w:val="00967FF9"/>
    <w:rsid w:val="009711E2"/>
    <w:rsid w:val="009714A9"/>
    <w:rsid w:val="00973F31"/>
    <w:rsid w:val="009751DC"/>
    <w:rsid w:val="009756ED"/>
    <w:rsid w:val="00975A26"/>
    <w:rsid w:val="00976AD8"/>
    <w:rsid w:val="00977C99"/>
    <w:rsid w:val="00981CD2"/>
    <w:rsid w:val="0098238F"/>
    <w:rsid w:val="00984371"/>
    <w:rsid w:val="00986241"/>
    <w:rsid w:val="00990267"/>
    <w:rsid w:val="00991C28"/>
    <w:rsid w:val="0099264D"/>
    <w:rsid w:val="0099305E"/>
    <w:rsid w:val="00994E2A"/>
    <w:rsid w:val="00995ABA"/>
    <w:rsid w:val="00995BF7"/>
    <w:rsid w:val="009968FA"/>
    <w:rsid w:val="00996FDD"/>
    <w:rsid w:val="00997C2D"/>
    <w:rsid w:val="009A27A5"/>
    <w:rsid w:val="009A4045"/>
    <w:rsid w:val="009A4440"/>
    <w:rsid w:val="009A4B9C"/>
    <w:rsid w:val="009A7BCB"/>
    <w:rsid w:val="009B2271"/>
    <w:rsid w:val="009B276A"/>
    <w:rsid w:val="009B3D10"/>
    <w:rsid w:val="009B4D3F"/>
    <w:rsid w:val="009B5594"/>
    <w:rsid w:val="009B7302"/>
    <w:rsid w:val="009C044B"/>
    <w:rsid w:val="009C2935"/>
    <w:rsid w:val="009C308B"/>
    <w:rsid w:val="009C414A"/>
    <w:rsid w:val="009C7B0A"/>
    <w:rsid w:val="009C7B71"/>
    <w:rsid w:val="009C7C2E"/>
    <w:rsid w:val="009D084D"/>
    <w:rsid w:val="009D1E13"/>
    <w:rsid w:val="009D24C9"/>
    <w:rsid w:val="009D2E9F"/>
    <w:rsid w:val="009D464F"/>
    <w:rsid w:val="009D489C"/>
    <w:rsid w:val="009D4D48"/>
    <w:rsid w:val="009E4035"/>
    <w:rsid w:val="009E42B7"/>
    <w:rsid w:val="009E4B56"/>
    <w:rsid w:val="009E5EB3"/>
    <w:rsid w:val="009E6FE0"/>
    <w:rsid w:val="009E735A"/>
    <w:rsid w:val="009E75FD"/>
    <w:rsid w:val="009E7E26"/>
    <w:rsid w:val="009F24EB"/>
    <w:rsid w:val="009F27DC"/>
    <w:rsid w:val="009F3935"/>
    <w:rsid w:val="009F532E"/>
    <w:rsid w:val="009F74DD"/>
    <w:rsid w:val="00A01517"/>
    <w:rsid w:val="00A06AF8"/>
    <w:rsid w:val="00A11AE4"/>
    <w:rsid w:val="00A12C60"/>
    <w:rsid w:val="00A13EF6"/>
    <w:rsid w:val="00A20AFD"/>
    <w:rsid w:val="00A235B6"/>
    <w:rsid w:val="00A24095"/>
    <w:rsid w:val="00A242A6"/>
    <w:rsid w:val="00A243A2"/>
    <w:rsid w:val="00A24677"/>
    <w:rsid w:val="00A2503F"/>
    <w:rsid w:val="00A25FB5"/>
    <w:rsid w:val="00A279B7"/>
    <w:rsid w:val="00A27C5D"/>
    <w:rsid w:val="00A27F7A"/>
    <w:rsid w:val="00A3291C"/>
    <w:rsid w:val="00A331BB"/>
    <w:rsid w:val="00A333E4"/>
    <w:rsid w:val="00A37710"/>
    <w:rsid w:val="00A42242"/>
    <w:rsid w:val="00A42FD4"/>
    <w:rsid w:val="00A438F0"/>
    <w:rsid w:val="00A43F26"/>
    <w:rsid w:val="00A45850"/>
    <w:rsid w:val="00A45941"/>
    <w:rsid w:val="00A4702B"/>
    <w:rsid w:val="00A4750F"/>
    <w:rsid w:val="00A47A9A"/>
    <w:rsid w:val="00A5015E"/>
    <w:rsid w:val="00A51C27"/>
    <w:rsid w:val="00A52048"/>
    <w:rsid w:val="00A5214E"/>
    <w:rsid w:val="00A54464"/>
    <w:rsid w:val="00A603D7"/>
    <w:rsid w:val="00A608B7"/>
    <w:rsid w:val="00A60FAC"/>
    <w:rsid w:val="00A6130A"/>
    <w:rsid w:val="00A6292B"/>
    <w:rsid w:val="00A63C5D"/>
    <w:rsid w:val="00A63DB6"/>
    <w:rsid w:val="00A664C2"/>
    <w:rsid w:val="00A70C0C"/>
    <w:rsid w:val="00A71967"/>
    <w:rsid w:val="00A73FBE"/>
    <w:rsid w:val="00A76ACD"/>
    <w:rsid w:val="00A770C2"/>
    <w:rsid w:val="00A830F8"/>
    <w:rsid w:val="00A83E1B"/>
    <w:rsid w:val="00A84F98"/>
    <w:rsid w:val="00A85618"/>
    <w:rsid w:val="00A86D2B"/>
    <w:rsid w:val="00A903E1"/>
    <w:rsid w:val="00A935BD"/>
    <w:rsid w:val="00A93943"/>
    <w:rsid w:val="00A95056"/>
    <w:rsid w:val="00A95822"/>
    <w:rsid w:val="00A95DC9"/>
    <w:rsid w:val="00AA263B"/>
    <w:rsid w:val="00AA2670"/>
    <w:rsid w:val="00AA278A"/>
    <w:rsid w:val="00AA2969"/>
    <w:rsid w:val="00AA7EBD"/>
    <w:rsid w:val="00AB0321"/>
    <w:rsid w:val="00AB0FFD"/>
    <w:rsid w:val="00AB14B7"/>
    <w:rsid w:val="00AB24D4"/>
    <w:rsid w:val="00AB6612"/>
    <w:rsid w:val="00AB7089"/>
    <w:rsid w:val="00AB7F80"/>
    <w:rsid w:val="00AC147B"/>
    <w:rsid w:val="00AC20A5"/>
    <w:rsid w:val="00AC5E27"/>
    <w:rsid w:val="00AC6803"/>
    <w:rsid w:val="00AC7584"/>
    <w:rsid w:val="00AC7612"/>
    <w:rsid w:val="00AC7C6A"/>
    <w:rsid w:val="00AD1BDA"/>
    <w:rsid w:val="00AE1838"/>
    <w:rsid w:val="00AE20F8"/>
    <w:rsid w:val="00AE266D"/>
    <w:rsid w:val="00AE2A3C"/>
    <w:rsid w:val="00AE5DCA"/>
    <w:rsid w:val="00AE6BCC"/>
    <w:rsid w:val="00AF1E41"/>
    <w:rsid w:val="00AF372F"/>
    <w:rsid w:val="00AF3F23"/>
    <w:rsid w:val="00AF586A"/>
    <w:rsid w:val="00AF6165"/>
    <w:rsid w:val="00AF6323"/>
    <w:rsid w:val="00AF6A05"/>
    <w:rsid w:val="00AF7E5F"/>
    <w:rsid w:val="00B001E1"/>
    <w:rsid w:val="00B00B36"/>
    <w:rsid w:val="00B02CF3"/>
    <w:rsid w:val="00B05D33"/>
    <w:rsid w:val="00B06DE8"/>
    <w:rsid w:val="00B1164D"/>
    <w:rsid w:val="00B11766"/>
    <w:rsid w:val="00B12295"/>
    <w:rsid w:val="00B12543"/>
    <w:rsid w:val="00B137A1"/>
    <w:rsid w:val="00B14995"/>
    <w:rsid w:val="00B1633D"/>
    <w:rsid w:val="00B167AE"/>
    <w:rsid w:val="00B17677"/>
    <w:rsid w:val="00B20893"/>
    <w:rsid w:val="00B22278"/>
    <w:rsid w:val="00B23F78"/>
    <w:rsid w:val="00B24952"/>
    <w:rsid w:val="00B27A2C"/>
    <w:rsid w:val="00B27FA8"/>
    <w:rsid w:val="00B32954"/>
    <w:rsid w:val="00B3399F"/>
    <w:rsid w:val="00B33DC1"/>
    <w:rsid w:val="00B362E6"/>
    <w:rsid w:val="00B3799D"/>
    <w:rsid w:val="00B4125A"/>
    <w:rsid w:val="00B41C87"/>
    <w:rsid w:val="00B4399F"/>
    <w:rsid w:val="00B453D5"/>
    <w:rsid w:val="00B47C58"/>
    <w:rsid w:val="00B47F7E"/>
    <w:rsid w:val="00B52806"/>
    <w:rsid w:val="00B52AA1"/>
    <w:rsid w:val="00B55DB4"/>
    <w:rsid w:val="00B6279F"/>
    <w:rsid w:val="00B64758"/>
    <w:rsid w:val="00B701D6"/>
    <w:rsid w:val="00B71B8C"/>
    <w:rsid w:val="00B76ADD"/>
    <w:rsid w:val="00B778A6"/>
    <w:rsid w:val="00B817F1"/>
    <w:rsid w:val="00B827D5"/>
    <w:rsid w:val="00B85766"/>
    <w:rsid w:val="00B85A86"/>
    <w:rsid w:val="00B87020"/>
    <w:rsid w:val="00B92311"/>
    <w:rsid w:val="00B92546"/>
    <w:rsid w:val="00B9264C"/>
    <w:rsid w:val="00B94002"/>
    <w:rsid w:val="00B95551"/>
    <w:rsid w:val="00B97D93"/>
    <w:rsid w:val="00BA20B0"/>
    <w:rsid w:val="00BA3742"/>
    <w:rsid w:val="00BA4BC3"/>
    <w:rsid w:val="00BA59F5"/>
    <w:rsid w:val="00BA6148"/>
    <w:rsid w:val="00BA7BCE"/>
    <w:rsid w:val="00BB08C3"/>
    <w:rsid w:val="00BB0DE6"/>
    <w:rsid w:val="00BB1E5C"/>
    <w:rsid w:val="00BB2959"/>
    <w:rsid w:val="00BB3318"/>
    <w:rsid w:val="00BC0359"/>
    <w:rsid w:val="00BC19AB"/>
    <w:rsid w:val="00BC1C8E"/>
    <w:rsid w:val="00BC277E"/>
    <w:rsid w:val="00BC3F4C"/>
    <w:rsid w:val="00BC4FB2"/>
    <w:rsid w:val="00BC51DC"/>
    <w:rsid w:val="00BC73BF"/>
    <w:rsid w:val="00BD1A4E"/>
    <w:rsid w:val="00BD253B"/>
    <w:rsid w:val="00BD2A16"/>
    <w:rsid w:val="00BD2D96"/>
    <w:rsid w:val="00BD405E"/>
    <w:rsid w:val="00BD460B"/>
    <w:rsid w:val="00BD4D68"/>
    <w:rsid w:val="00BD5218"/>
    <w:rsid w:val="00BD5437"/>
    <w:rsid w:val="00BD59A3"/>
    <w:rsid w:val="00BD5A05"/>
    <w:rsid w:val="00BE0A49"/>
    <w:rsid w:val="00BE10D1"/>
    <w:rsid w:val="00BE3FE3"/>
    <w:rsid w:val="00BE4AF8"/>
    <w:rsid w:val="00BE6B07"/>
    <w:rsid w:val="00BF3BD5"/>
    <w:rsid w:val="00BF49DE"/>
    <w:rsid w:val="00BF66B2"/>
    <w:rsid w:val="00BF6B22"/>
    <w:rsid w:val="00BF75E2"/>
    <w:rsid w:val="00BF7EA2"/>
    <w:rsid w:val="00C03A0E"/>
    <w:rsid w:val="00C04C3B"/>
    <w:rsid w:val="00C04DC1"/>
    <w:rsid w:val="00C070E0"/>
    <w:rsid w:val="00C07248"/>
    <w:rsid w:val="00C07FA1"/>
    <w:rsid w:val="00C10EDB"/>
    <w:rsid w:val="00C117FD"/>
    <w:rsid w:val="00C129C1"/>
    <w:rsid w:val="00C131FD"/>
    <w:rsid w:val="00C144CE"/>
    <w:rsid w:val="00C158B8"/>
    <w:rsid w:val="00C1754A"/>
    <w:rsid w:val="00C21129"/>
    <w:rsid w:val="00C23F7D"/>
    <w:rsid w:val="00C24CFF"/>
    <w:rsid w:val="00C25996"/>
    <w:rsid w:val="00C259A3"/>
    <w:rsid w:val="00C26A75"/>
    <w:rsid w:val="00C27CD3"/>
    <w:rsid w:val="00C30E13"/>
    <w:rsid w:val="00C3245A"/>
    <w:rsid w:val="00C32E75"/>
    <w:rsid w:val="00C33CD3"/>
    <w:rsid w:val="00C340D7"/>
    <w:rsid w:val="00C34E9B"/>
    <w:rsid w:val="00C36ABA"/>
    <w:rsid w:val="00C37B67"/>
    <w:rsid w:val="00C404C1"/>
    <w:rsid w:val="00C411E8"/>
    <w:rsid w:val="00C44C14"/>
    <w:rsid w:val="00C44E3C"/>
    <w:rsid w:val="00C47289"/>
    <w:rsid w:val="00C50F9A"/>
    <w:rsid w:val="00C51A4C"/>
    <w:rsid w:val="00C528D4"/>
    <w:rsid w:val="00C53EBF"/>
    <w:rsid w:val="00C54A8F"/>
    <w:rsid w:val="00C54C60"/>
    <w:rsid w:val="00C63CA1"/>
    <w:rsid w:val="00C63DA9"/>
    <w:rsid w:val="00C63FF3"/>
    <w:rsid w:val="00C65FB2"/>
    <w:rsid w:val="00C66D0D"/>
    <w:rsid w:val="00C70F9C"/>
    <w:rsid w:val="00C71611"/>
    <w:rsid w:val="00C71822"/>
    <w:rsid w:val="00C71EDE"/>
    <w:rsid w:val="00C7238F"/>
    <w:rsid w:val="00C74943"/>
    <w:rsid w:val="00C75371"/>
    <w:rsid w:val="00C82280"/>
    <w:rsid w:val="00C8228D"/>
    <w:rsid w:val="00C848B2"/>
    <w:rsid w:val="00C85999"/>
    <w:rsid w:val="00C85AE7"/>
    <w:rsid w:val="00C87329"/>
    <w:rsid w:val="00C9046F"/>
    <w:rsid w:val="00C90C2F"/>
    <w:rsid w:val="00C949BD"/>
    <w:rsid w:val="00C9576C"/>
    <w:rsid w:val="00C969BC"/>
    <w:rsid w:val="00CA069F"/>
    <w:rsid w:val="00CA522D"/>
    <w:rsid w:val="00CA52EE"/>
    <w:rsid w:val="00CA5C50"/>
    <w:rsid w:val="00CA6A29"/>
    <w:rsid w:val="00CA6E5A"/>
    <w:rsid w:val="00CA6F44"/>
    <w:rsid w:val="00CB11C9"/>
    <w:rsid w:val="00CB6E01"/>
    <w:rsid w:val="00CC1B37"/>
    <w:rsid w:val="00CC32D8"/>
    <w:rsid w:val="00CC46D0"/>
    <w:rsid w:val="00CC74C6"/>
    <w:rsid w:val="00CC78DF"/>
    <w:rsid w:val="00CD13D8"/>
    <w:rsid w:val="00CD1AA4"/>
    <w:rsid w:val="00CD1FD5"/>
    <w:rsid w:val="00CD295E"/>
    <w:rsid w:val="00CD4069"/>
    <w:rsid w:val="00CD58ED"/>
    <w:rsid w:val="00CE0837"/>
    <w:rsid w:val="00CE4312"/>
    <w:rsid w:val="00CE531E"/>
    <w:rsid w:val="00CE5F20"/>
    <w:rsid w:val="00CE6427"/>
    <w:rsid w:val="00CE6854"/>
    <w:rsid w:val="00CE741C"/>
    <w:rsid w:val="00CE7AE1"/>
    <w:rsid w:val="00CF10A9"/>
    <w:rsid w:val="00CF1ECC"/>
    <w:rsid w:val="00CF218B"/>
    <w:rsid w:val="00CF3F7F"/>
    <w:rsid w:val="00CF42A3"/>
    <w:rsid w:val="00CF475F"/>
    <w:rsid w:val="00CF7E28"/>
    <w:rsid w:val="00D00A6B"/>
    <w:rsid w:val="00D02854"/>
    <w:rsid w:val="00D04D29"/>
    <w:rsid w:val="00D0500B"/>
    <w:rsid w:val="00D05FDE"/>
    <w:rsid w:val="00D0652B"/>
    <w:rsid w:val="00D07603"/>
    <w:rsid w:val="00D07AA9"/>
    <w:rsid w:val="00D10348"/>
    <w:rsid w:val="00D1069D"/>
    <w:rsid w:val="00D1222A"/>
    <w:rsid w:val="00D12BF8"/>
    <w:rsid w:val="00D16BD5"/>
    <w:rsid w:val="00D17EFA"/>
    <w:rsid w:val="00D21B16"/>
    <w:rsid w:val="00D24ADC"/>
    <w:rsid w:val="00D25404"/>
    <w:rsid w:val="00D25869"/>
    <w:rsid w:val="00D2604F"/>
    <w:rsid w:val="00D2661A"/>
    <w:rsid w:val="00D2742A"/>
    <w:rsid w:val="00D27BE6"/>
    <w:rsid w:val="00D305E9"/>
    <w:rsid w:val="00D32679"/>
    <w:rsid w:val="00D32BFE"/>
    <w:rsid w:val="00D33070"/>
    <w:rsid w:val="00D34DA5"/>
    <w:rsid w:val="00D34E32"/>
    <w:rsid w:val="00D355D7"/>
    <w:rsid w:val="00D36E4A"/>
    <w:rsid w:val="00D37524"/>
    <w:rsid w:val="00D4144D"/>
    <w:rsid w:val="00D41E01"/>
    <w:rsid w:val="00D42E7C"/>
    <w:rsid w:val="00D43A55"/>
    <w:rsid w:val="00D43A8E"/>
    <w:rsid w:val="00D45F7F"/>
    <w:rsid w:val="00D4621F"/>
    <w:rsid w:val="00D46706"/>
    <w:rsid w:val="00D4718E"/>
    <w:rsid w:val="00D52780"/>
    <w:rsid w:val="00D53B83"/>
    <w:rsid w:val="00D54FD9"/>
    <w:rsid w:val="00D602EF"/>
    <w:rsid w:val="00D61E93"/>
    <w:rsid w:val="00D62E77"/>
    <w:rsid w:val="00D63B10"/>
    <w:rsid w:val="00D63B3A"/>
    <w:rsid w:val="00D64A7F"/>
    <w:rsid w:val="00D64D03"/>
    <w:rsid w:val="00D64D93"/>
    <w:rsid w:val="00D6517B"/>
    <w:rsid w:val="00D70DA9"/>
    <w:rsid w:val="00D72796"/>
    <w:rsid w:val="00D73CE0"/>
    <w:rsid w:val="00D74FAE"/>
    <w:rsid w:val="00D7689D"/>
    <w:rsid w:val="00D76D04"/>
    <w:rsid w:val="00D7753B"/>
    <w:rsid w:val="00D813D4"/>
    <w:rsid w:val="00D841EC"/>
    <w:rsid w:val="00D85566"/>
    <w:rsid w:val="00D87B8D"/>
    <w:rsid w:val="00D9082B"/>
    <w:rsid w:val="00D90FBA"/>
    <w:rsid w:val="00D92AFB"/>
    <w:rsid w:val="00D92DA8"/>
    <w:rsid w:val="00D92FFE"/>
    <w:rsid w:val="00D95A5F"/>
    <w:rsid w:val="00D96BBE"/>
    <w:rsid w:val="00DA026D"/>
    <w:rsid w:val="00DA1055"/>
    <w:rsid w:val="00DB10EF"/>
    <w:rsid w:val="00DB19BC"/>
    <w:rsid w:val="00DB5A66"/>
    <w:rsid w:val="00DB63BC"/>
    <w:rsid w:val="00DB6CE5"/>
    <w:rsid w:val="00DB762F"/>
    <w:rsid w:val="00DC0E7F"/>
    <w:rsid w:val="00DC2A64"/>
    <w:rsid w:val="00DC49A5"/>
    <w:rsid w:val="00DC49C6"/>
    <w:rsid w:val="00DC590D"/>
    <w:rsid w:val="00DC6E94"/>
    <w:rsid w:val="00DD0086"/>
    <w:rsid w:val="00DD08ED"/>
    <w:rsid w:val="00DD18D9"/>
    <w:rsid w:val="00DD20BE"/>
    <w:rsid w:val="00DD21DA"/>
    <w:rsid w:val="00DD42C1"/>
    <w:rsid w:val="00DD4453"/>
    <w:rsid w:val="00DD45CE"/>
    <w:rsid w:val="00DD5D01"/>
    <w:rsid w:val="00DE02B0"/>
    <w:rsid w:val="00DE34CF"/>
    <w:rsid w:val="00DE52F6"/>
    <w:rsid w:val="00DE6E5F"/>
    <w:rsid w:val="00DE6FEC"/>
    <w:rsid w:val="00DE7349"/>
    <w:rsid w:val="00DE73A6"/>
    <w:rsid w:val="00DF2102"/>
    <w:rsid w:val="00DF288A"/>
    <w:rsid w:val="00DF33EB"/>
    <w:rsid w:val="00DF4BD9"/>
    <w:rsid w:val="00DF674C"/>
    <w:rsid w:val="00DF777F"/>
    <w:rsid w:val="00DF7843"/>
    <w:rsid w:val="00E015B8"/>
    <w:rsid w:val="00E01EF8"/>
    <w:rsid w:val="00E03635"/>
    <w:rsid w:val="00E040B9"/>
    <w:rsid w:val="00E046BF"/>
    <w:rsid w:val="00E07806"/>
    <w:rsid w:val="00E07E40"/>
    <w:rsid w:val="00E10F81"/>
    <w:rsid w:val="00E1583D"/>
    <w:rsid w:val="00E15ED2"/>
    <w:rsid w:val="00E167EF"/>
    <w:rsid w:val="00E168AF"/>
    <w:rsid w:val="00E17BB2"/>
    <w:rsid w:val="00E2024A"/>
    <w:rsid w:val="00E2136A"/>
    <w:rsid w:val="00E23DF4"/>
    <w:rsid w:val="00E25564"/>
    <w:rsid w:val="00E25EF6"/>
    <w:rsid w:val="00E2664C"/>
    <w:rsid w:val="00E273AA"/>
    <w:rsid w:val="00E319B6"/>
    <w:rsid w:val="00E338F6"/>
    <w:rsid w:val="00E35B36"/>
    <w:rsid w:val="00E3696E"/>
    <w:rsid w:val="00E41184"/>
    <w:rsid w:val="00E42AA1"/>
    <w:rsid w:val="00E44927"/>
    <w:rsid w:val="00E4525E"/>
    <w:rsid w:val="00E505C2"/>
    <w:rsid w:val="00E50F51"/>
    <w:rsid w:val="00E51C5B"/>
    <w:rsid w:val="00E51EAF"/>
    <w:rsid w:val="00E53923"/>
    <w:rsid w:val="00E539C0"/>
    <w:rsid w:val="00E54529"/>
    <w:rsid w:val="00E54651"/>
    <w:rsid w:val="00E5488C"/>
    <w:rsid w:val="00E5727D"/>
    <w:rsid w:val="00E577DA"/>
    <w:rsid w:val="00E60188"/>
    <w:rsid w:val="00E6081D"/>
    <w:rsid w:val="00E61050"/>
    <w:rsid w:val="00E615AB"/>
    <w:rsid w:val="00E6165C"/>
    <w:rsid w:val="00E62488"/>
    <w:rsid w:val="00E62C74"/>
    <w:rsid w:val="00E630F6"/>
    <w:rsid w:val="00E63470"/>
    <w:rsid w:val="00E6376A"/>
    <w:rsid w:val="00E6439B"/>
    <w:rsid w:val="00E6542E"/>
    <w:rsid w:val="00E66482"/>
    <w:rsid w:val="00E667FC"/>
    <w:rsid w:val="00E6749F"/>
    <w:rsid w:val="00E703AE"/>
    <w:rsid w:val="00E70D2D"/>
    <w:rsid w:val="00E746B6"/>
    <w:rsid w:val="00E74D51"/>
    <w:rsid w:val="00E772DA"/>
    <w:rsid w:val="00E77809"/>
    <w:rsid w:val="00E83D83"/>
    <w:rsid w:val="00E84160"/>
    <w:rsid w:val="00E86EBD"/>
    <w:rsid w:val="00E91E43"/>
    <w:rsid w:val="00E92262"/>
    <w:rsid w:val="00E94449"/>
    <w:rsid w:val="00E94BA5"/>
    <w:rsid w:val="00E94D9E"/>
    <w:rsid w:val="00E96EC4"/>
    <w:rsid w:val="00E9744C"/>
    <w:rsid w:val="00E979FE"/>
    <w:rsid w:val="00EA174A"/>
    <w:rsid w:val="00EA3193"/>
    <w:rsid w:val="00EA5642"/>
    <w:rsid w:val="00EA65B2"/>
    <w:rsid w:val="00EA7328"/>
    <w:rsid w:val="00EA750D"/>
    <w:rsid w:val="00EA7FB2"/>
    <w:rsid w:val="00EB060E"/>
    <w:rsid w:val="00EB1BF8"/>
    <w:rsid w:val="00EB2A8A"/>
    <w:rsid w:val="00EB2B41"/>
    <w:rsid w:val="00EB4F78"/>
    <w:rsid w:val="00EB51F9"/>
    <w:rsid w:val="00EC17A4"/>
    <w:rsid w:val="00EC2463"/>
    <w:rsid w:val="00EC3A96"/>
    <w:rsid w:val="00EC3C81"/>
    <w:rsid w:val="00ED042D"/>
    <w:rsid w:val="00ED1E9F"/>
    <w:rsid w:val="00ED39F3"/>
    <w:rsid w:val="00ED4509"/>
    <w:rsid w:val="00ED53E6"/>
    <w:rsid w:val="00ED5DFE"/>
    <w:rsid w:val="00EE0D43"/>
    <w:rsid w:val="00EE167E"/>
    <w:rsid w:val="00EE49B0"/>
    <w:rsid w:val="00EE5098"/>
    <w:rsid w:val="00EE5F92"/>
    <w:rsid w:val="00EE6A69"/>
    <w:rsid w:val="00EF05E7"/>
    <w:rsid w:val="00EF292D"/>
    <w:rsid w:val="00EF3479"/>
    <w:rsid w:val="00EF4D2F"/>
    <w:rsid w:val="00EF529E"/>
    <w:rsid w:val="00EF6924"/>
    <w:rsid w:val="00EF6A94"/>
    <w:rsid w:val="00F01D56"/>
    <w:rsid w:val="00F03436"/>
    <w:rsid w:val="00F0380A"/>
    <w:rsid w:val="00F03E15"/>
    <w:rsid w:val="00F071FB"/>
    <w:rsid w:val="00F1066D"/>
    <w:rsid w:val="00F112F2"/>
    <w:rsid w:val="00F115D5"/>
    <w:rsid w:val="00F123A8"/>
    <w:rsid w:val="00F1286B"/>
    <w:rsid w:val="00F1325B"/>
    <w:rsid w:val="00F13D11"/>
    <w:rsid w:val="00F14561"/>
    <w:rsid w:val="00F14839"/>
    <w:rsid w:val="00F161DD"/>
    <w:rsid w:val="00F22630"/>
    <w:rsid w:val="00F23FC3"/>
    <w:rsid w:val="00F26367"/>
    <w:rsid w:val="00F33FA5"/>
    <w:rsid w:val="00F36D6A"/>
    <w:rsid w:val="00F37711"/>
    <w:rsid w:val="00F412CF"/>
    <w:rsid w:val="00F41E09"/>
    <w:rsid w:val="00F41FF5"/>
    <w:rsid w:val="00F43C22"/>
    <w:rsid w:val="00F45548"/>
    <w:rsid w:val="00F467B1"/>
    <w:rsid w:val="00F473C8"/>
    <w:rsid w:val="00F474C9"/>
    <w:rsid w:val="00F47D67"/>
    <w:rsid w:val="00F50882"/>
    <w:rsid w:val="00F50D07"/>
    <w:rsid w:val="00F53089"/>
    <w:rsid w:val="00F532C2"/>
    <w:rsid w:val="00F53886"/>
    <w:rsid w:val="00F5741D"/>
    <w:rsid w:val="00F574AC"/>
    <w:rsid w:val="00F57CF4"/>
    <w:rsid w:val="00F613A9"/>
    <w:rsid w:val="00F64B09"/>
    <w:rsid w:val="00F65497"/>
    <w:rsid w:val="00F66A78"/>
    <w:rsid w:val="00F67760"/>
    <w:rsid w:val="00F714C0"/>
    <w:rsid w:val="00F7385E"/>
    <w:rsid w:val="00F74948"/>
    <w:rsid w:val="00F76DB2"/>
    <w:rsid w:val="00F774A0"/>
    <w:rsid w:val="00F778AE"/>
    <w:rsid w:val="00F8076E"/>
    <w:rsid w:val="00F81342"/>
    <w:rsid w:val="00F8278A"/>
    <w:rsid w:val="00F85150"/>
    <w:rsid w:val="00F85242"/>
    <w:rsid w:val="00F8749C"/>
    <w:rsid w:val="00F92A35"/>
    <w:rsid w:val="00F92C8F"/>
    <w:rsid w:val="00F93B33"/>
    <w:rsid w:val="00F9493F"/>
    <w:rsid w:val="00FA01F8"/>
    <w:rsid w:val="00FA0EA0"/>
    <w:rsid w:val="00FA0F4A"/>
    <w:rsid w:val="00FA111F"/>
    <w:rsid w:val="00FA36B1"/>
    <w:rsid w:val="00FA6161"/>
    <w:rsid w:val="00FB0D5B"/>
    <w:rsid w:val="00FB0DA5"/>
    <w:rsid w:val="00FB1934"/>
    <w:rsid w:val="00FB2F2B"/>
    <w:rsid w:val="00FB70C1"/>
    <w:rsid w:val="00FC0AC1"/>
    <w:rsid w:val="00FC0E59"/>
    <w:rsid w:val="00FC1032"/>
    <w:rsid w:val="00FC164E"/>
    <w:rsid w:val="00FC18C4"/>
    <w:rsid w:val="00FC2313"/>
    <w:rsid w:val="00FC2C80"/>
    <w:rsid w:val="00FC4072"/>
    <w:rsid w:val="00FC6802"/>
    <w:rsid w:val="00FC72CF"/>
    <w:rsid w:val="00FC73E5"/>
    <w:rsid w:val="00FD1967"/>
    <w:rsid w:val="00FD41A8"/>
    <w:rsid w:val="00FD442E"/>
    <w:rsid w:val="00FD486E"/>
    <w:rsid w:val="00FD5153"/>
    <w:rsid w:val="00FE0251"/>
    <w:rsid w:val="00FE059C"/>
    <w:rsid w:val="00FE161D"/>
    <w:rsid w:val="00FF02DA"/>
    <w:rsid w:val="00FF0E40"/>
    <w:rsid w:val="00FF256F"/>
    <w:rsid w:val="00FF2E5D"/>
    <w:rsid w:val="00FF307E"/>
    <w:rsid w:val="00FF3AD9"/>
    <w:rsid w:val="00FF43D7"/>
    <w:rsid w:val="00FF5569"/>
    <w:rsid w:val="00FF6811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6C868-5018-4729-A5FB-8C3F87F6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4045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Bullet List,FooterText,numbered,Нумерованый список,List Paragraph1,Заголовок_3,Bullet_IRAO,Мой Список,AC List 01,Подпись рисунка,Table-Normal,RSHB_Table-Normal,Список 1,Body Paragraph,Цветной список - Акцент 11,Абзац1,Список a,b,c,lp1"/>
    <w:basedOn w:val="a0"/>
    <w:link w:val="a5"/>
    <w:uiPriority w:val="34"/>
    <w:qFormat/>
    <w:rsid w:val="009A404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Список 1 Знак"/>
    <w:basedOn w:val="a1"/>
    <w:link w:val="a4"/>
    <w:uiPriority w:val="34"/>
    <w:qFormat/>
    <w:locked/>
    <w:rsid w:val="009A404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9A4045"/>
    <w:pPr>
      <w:numPr>
        <w:numId w:val="1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table" w:customStyle="1" w:styleId="1">
    <w:name w:val="Сетка таблицы1"/>
    <w:basedOn w:val="a2"/>
    <w:next w:val="a6"/>
    <w:uiPriority w:val="39"/>
    <w:rsid w:val="009A40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Параграф"/>
    <w:basedOn w:val="a0"/>
    <w:next w:val="a0"/>
    <w:qFormat/>
    <w:rsid w:val="009A4045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table" w:styleId="a6">
    <w:name w:val="Table Grid"/>
    <w:basedOn w:val="a2"/>
    <w:uiPriority w:val="39"/>
    <w:rsid w:val="009A4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4759</Words>
  <Characters>27131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Малых Юлия Викторовна</cp:lastModifiedBy>
  <cp:revision>2</cp:revision>
  <dcterms:created xsi:type="dcterms:W3CDTF">2024-08-21T13:30:00Z</dcterms:created>
  <dcterms:modified xsi:type="dcterms:W3CDTF">2024-08-21T13:33:00Z</dcterms:modified>
</cp:coreProperties>
</file>